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AB4B6" w14:textId="6E43BC06" w:rsidR="00C5522E" w:rsidRPr="00306C67" w:rsidRDefault="00C5522E" w:rsidP="00306C67">
      <w:pPr>
        <w:pStyle w:val="xmsonormal"/>
        <w:pBdr>
          <w:bottom w:val="single" w:sz="4" w:space="1" w:color="auto"/>
        </w:pBdr>
        <w:jc w:val="both"/>
        <w:rPr>
          <w:rFonts w:asciiTheme="minorHAnsi" w:hAnsiTheme="minorHAnsi" w:cs="Arial"/>
          <w:b/>
          <w:bCs/>
          <w:lang w:val="fr-FR"/>
        </w:rPr>
      </w:pPr>
      <w:r w:rsidRPr="00306C67">
        <w:rPr>
          <w:rFonts w:asciiTheme="minorHAnsi" w:hAnsiTheme="minorHAnsi" w:cs="Arial"/>
          <w:b/>
          <w:bCs/>
          <w:lang w:val="fr-FR"/>
        </w:rPr>
        <w:t>La transparence des données sur les bénéficiaires effectifs : réflexion</w:t>
      </w:r>
      <w:r w:rsidR="00966B68" w:rsidRPr="00306C67">
        <w:rPr>
          <w:rFonts w:asciiTheme="minorHAnsi" w:hAnsiTheme="minorHAnsi" w:cs="Arial"/>
          <w:b/>
          <w:bCs/>
          <w:lang w:val="fr-FR"/>
        </w:rPr>
        <w:t>s</w:t>
      </w:r>
      <w:r w:rsidRPr="00306C67">
        <w:rPr>
          <w:rFonts w:asciiTheme="minorHAnsi" w:hAnsiTheme="minorHAnsi" w:cs="Arial"/>
          <w:b/>
          <w:bCs/>
          <w:lang w:val="fr-FR"/>
        </w:rPr>
        <w:t xml:space="preserve"> sur la transposition par la France de l’une des dispositions majeures de la 5</w:t>
      </w:r>
      <w:r w:rsidRPr="00306C67">
        <w:rPr>
          <w:rFonts w:asciiTheme="minorHAnsi" w:hAnsiTheme="minorHAnsi" w:cs="Arial"/>
          <w:b/>
          <w:bCs/>
          <w:vertAlign w:val="superscript"/>
          <w:lang w:val="fr-FR"/>
        </w:rPr>
        <w:t>ème</w:t>
      </w:r>
      <w:r w:rsidRPr="00306C67">
        <w:rPr>
          <w:rFonts w:asciiTheme="minorHAnsi" w:hAnsiTheme="minorHAnsi" w:cs="Arial"/>
          <w:b/>
          <w:bCs/>
          <w:lang w:val="fr-FR"/>
        </w:rPr>
        <w:t xml:space="preserve"> directive </w:t>
      </w:r>
      <w:r w:rsidR="005E7B63">
        <w:rPr>
          <w:rFonts w:asciiTheme="minorHAnsi" w:hAnsiTheme="minorHAnsi" w:cs="Arial"/>
          <w:b/>
          <w:bCs/>
          <w:lang w:val="fr-FR"/>
        </w:rPr>
        <w:t>européenne anti-blanchiment</w:t>
      </w:r>
    </w:p>
    <w:p w14:paraId="735B1FF1" w14:textId="14A1A9C2" w:rsidR="00795A6D" w:rsidRPr="00306C67" w:rsidRDefault="00795A6D" w:rsidP="00306C67">
      <w:pPr>
        <w:pStyle w:val="xmsonormal"/>
        <w:jc w:val="both"/>
        <w:rPr>
          <w:rFonts w:asciiTheme="minorHAnsi" w:hAnsiTheme="minorHAnsi" w:cs="Arial"/>
          <w:i/>
          <w:iCs/>
          <w:lang w:val="fr-FR"/>
        </w:rPr>
      </w:pPr>
    </w:p>
    <w:p w14:paraId="18FA2184" w14:textId="636B887C" w:rsidR="00B217C8" w:rsidRPr="00306C67" w:rsidRDefault="00EB396C" w:rsidP="00306C67">
      <w:pPr>
        <w:pStyle w:val="xmsonormal"/>
        <w:jc w:val="both"/>
        <w:rPr>
          <w:rFonts w:asciiTheme="minorHAnsi" w:hAnsiTheme="minorHAnsi" w:cs="Arial"/>
          <w:i/>
          <w:iCs/>
          <w:lang w:val="fr-FR"/>
        </w:rPr>
      </w:pPr>
      <w:r w:rsidRPr="00306C67">
        <w:rPr>
          <w:rFonts w:asciiTheme="minorHAnsi" w:hAnsiTheme="minorHAnsi" w:cs="Arial"/>
          <w:i/>
          <w:iCs/>
          <w:lang w:val="fr-FR"/>
        </w:rPr>
        <w:t>L’une des mesures phares introduites par la 5</w:t>
      </w:r>
      <w:r w:rsidRPr="00306C67">
        <w:rPr>
          <w:rFonts w:asciiTheme="minorHAnsi" w:hAnsiTheme="minorHAnsi" w:cs="Arial"/>
          <w:i/>
          <w:iCs/>
          <w:vertAlign w:val="superscript"/>
          <w:lang w:val="fr-FR"/>
        </w:rPr>
        <w:t>ème</w:t>
      </w:r>
      <w:r w:rsidRPr="00306C67">
        <w:rPr>
          <w:rFonts w:asciiTheme="minorHAnsi" w:hAnsiTheme="minorHAnsi" w:cs="Arial"/>
          <w:i/>
          <w:iCs/>
          <w:lang w:val="fr-FR"/>
        </w:rPr>
        <w:t xml:space="preserve"> directive anti-blanchiment consiste à ouvrir au public les registres sur les bénéficiaires effectifs. </w:t>
      </w:r>
      <w:r w:rsidR="00872B3B" w:rsidRPr="00306C67">
        <w:rPr>
          <w:rFonts w:asciiTheme="minorHAnsi" w:hAnsiTheme="minorHAnsi" w:cs="Arial"/>
          <w:i/>
          <w:iCs/>
          <w:lang w:val="fr-FR"/>
        </w:rPr>
        <w:t xml:space="preserve">Cette nouvelle disposition invite à réfléchir sur le rôle central de la société civile dans la lutte contre le blanchiment. </w:t>
      </w:r>
    </w:p>
    <w:p w14:paraId="2D5A4C3B" w14:textId="77777777" w:rsidR="00B217C8" w:rsidRPr="00306C67" w:rsidRDefault="00B217C8" w:rsidP="00306C67">
      <w:pPr>
        <w:pStyle w:val="xmsonormal"/>
        <w:jc w:val="both"/>
        <w:rPr>
          <w:rFonts w:asciiTheme="minorHAnsi" w:hAnsiTheme="minorHAnsi" w:cs="Arial"/>
          <w:lang w:val="fr-FR"/>
        </w:rPr>
      </w:pPr>
    </w:p>
    <w:p w14:paraId="09E554FE" w14:textId="77777777" w:rsidR="00795A6D" w:rsidRPr="00306C67" w:rsidRDefault="00795A6D" w:rsidP="00306C67">
      <w:pPr>
        <w:jc w:val="both"/>
        <w:rPr>
          <w:rFonts w:cs="Arial"/>
          <w:color w:val="000000"/>
        </w:rPr>
      </w:pPr>
      <w:r w:rsidRPr="00306C67">
        <w:rPr>
          <w:rFonts w:cs="Arial"/>
          <w:color w:val="000000"/>
        </w:rPr>
        <w:t>La 5</w:t>
      </w:r>
      <w:r w:rsidRPr="00306C67">
        <w:rPr>
          <w:rFonts w:cs="Arial"/>
          <w:color w:val="000000"/>
          <w:vertAlign w:val="superscript"/>
        </w:rPr>
        <w:t>ème</w:t>
      </w:r>
      <w:r w:rsidRPr="00306C67">
        <w:rPr>
          <w:rFonts w:cs="Arial"/>
          <w:color w:val="000000"/>
        </w:rPr>
        <w:t xml:space="preserve"> directive anti-blanchiment a été présentée par la Commission européenne en juillet 2016, au lendemain de l’affaire des « </w:t>
      </w:r>
      <w:r w:rsidRPr="00306C67">
        <w:rPr>
          <w:rFonts w:cs="Arial"/>
          <w:i/>
          <w:iCs/>
          <w:color w:val="000000"/>
        </w:rPr>
        <w:t>Panama Papers</w:t>
      </w:r>
      <w:r w:rsidRPr="00306C67">
        <w:rPr>
          <w:rFonts w:cs="Arial"/>
          <w:color w:val="000000"/>
        </w:rPr>
        <w:t xml:space="preserve"> », la plus grande révélation d’informations en matière de blanchiment de capitaux, d’évasion fiscale et de fraude fiscale du XXIème siècle. </w:t>
      </w:r>
    </w:p>
    <w:p w14:paraId="15DD5ECE" w14:textId="1E0438D2" w:rsidR="001F1234" w:rsidRPr="00306C67" w:rsidRDefault="00795A6D" w:rsidP="00306C67">
      <w:pPr>
        <w:jc w:val="both"/>
        <w:rPr>
          <w:rFonts w:cs="Arial"/>
          <w:color w:val="000000"/>
        </w:rPr>
      </w:pPr>
      <w:r w:rsidRPr="00306C67">
        <w:rPr>
          <w:rFonts w:cs="Arial"/>
          <w:color w:val="000000"/>
        </w:rPr>
        <w:t xml:space="preserve">Ce scandale </w:t>
      </w:r>
      <w:r w:rsidR="00032F4C" w:rsidRPr="00306C67">
        <w:rPr>
          <w:rFonts w:cs="Arial"/>
          <w:color w:val="000000"/>
        </w:rPr>
        <w:t>a révélé l’existence d’</w:t>
      </w:r>
      <w:r w:rsidRPr="00306C67">
        <w:rPr>
          <w:rFonts w:cs="Arial"/>
          <w:color w:val="000000"/>
        </w:rPr>
        <w:t xml:space="preserve">un vaste système de sociétés écrans </w:t>
      </w:r>
      <w:r w:rsidR="00DF5896" w:rsidRPr="00306C67">
        <w:rPr>
          <w:rFonts w:cs="Arial"/>
          <w:color w:val="000000"/>
        </w:rPr>
        <w:t xml:space="preserve">mis en place par des </w:t>
      </w:r>
      <w:r w:rsidRPr="00306C67">
        <w:rPr>
          <w:rFonts w:cs="Arial"/>
          <w:color w:val="000000"/>
        </w:rPr>
        <w:t xml:space="preserve">cabinets d’avocats, des gestionnaires d’actifs et des comptables </w:t>
      </w:r>
      <w:r w:rsidR="00032F4C" w:rsidRPr="00306C67">
        <w:rPr>
          <w:rFonts w:cs="Arial"/>
          <w:color w:val="000000"/>
        </w:rPr>
        <w:t xml:space="preserve">afin de </w:t>
      </w:r>
      <w:r w:rsidRPr="00306C67">
        <w:rPr>
          <w:rFonts w:cs="Arial"/>
          <w:color w:val="000000"/>
        </w:rPr>
        <w:t>dissimuler</w:t>
      </w:r>
      <w:r w:rsidR="00032F4C" w:rsidRPr="00306C67">
        <w:rPr>
          <w:rFonts w:cs="Arial"/>
          <w:color w:val="000000"/>
        </w:rPr>
        <w:t xml:space="preserve"> l’identité</w:t>
      </w:r>
      <w:r w:rsidR="00F0342D" w:rsidRPr="00306C67">
        <w:rPr>
          <w:rFonts w:cs="Arial"/>
          <w:color w:val="000000"/>
        </w:rPr>
        <w:t xml:space="preserve">, </w:t>
      </w:r>
      <w:r w:rsidR="00032F4C" w:rsidRPr="00306C67">
        <w:rPr>
          <w:rFonts w:cs="Arial"/>
          <w:color w:val="000000"/>
        </w:rPr>
        <w:t xml:space="preserve">l’origine des </w:t>
      </w:r>
      <w:r w:rsidR="00F0342D" w:rsidRPr="00306C67">
        <w:rPr>
          <w:rFonts w:cs="Arial"/>
          <w:color w:val="000000"/>
        </w:rPr>
        <w:t xml:space="preserve">fonds </w:t>
      </w:r>
      <w:r w:rsidR="007B1B1B" w:rsidRPr="00306C67">
        <w:rPr>
          <w:rFonts w:cs="Arial"/>
          <w:color w:val="000000"/>
        </w:rPr>
        <w:t xml:space="preserve">et la nature des transactions financières </w:t>
      </w:r>
      <w:r w:rsidR="00F0342D" w:rsidRPr="00306C67">
        <w:rPr>
          <w:rFonts w:cs="Arial"/>
          <w:color w:val="000000"/>
        </w:rPr>
        <w:t xml:space="preserve">de leurs </w:t>
      </w:r>
      <w:r w:rsidR="00F0342D" w:rsidRPr="00306C67">
        <w:rPr>
          <w:rFonts w:cs="Arial"/>
        </w:rPr>
        <w:t xml:space="preserve">clients. </w:t>
      </w:r>
      <w:r w:rsidR="005A6898" w:rsidRPr="00306C67">
        <w:rPr>
          <w:rFonts w:cs="Arial"/>
        </w:rPr>
        <w:t>Afin de lutter contre le recours abusif à des sociétés et autres constructions juridiques aux fins du blanchiment de capitaux, il est nécessaire que ces sociétés</w:t>
      </w:r>
      <w:r w:rsidR="00002BE0">
        <w:rPr>
          <w:rFonts w:cs="Arial"/>
        </w:rPr>
        <w:t xml:space="preserve"> </w:t>
      </w:r>
      <w:r w:rsidR="005A6898" w:rsidRPr="00306C67">
        <w:rPr>
          <w:rFonts w:cs="Arial"/>
        </w:rPr>
        <w:t xml:space="preserve">dévoilent l’identité de leurs bénéficiaires effectifs, c’est-à-dire </w:t>
      </w:r>
      <w:r w:rsidR="005E7B63">
        <w:rPr>
          <w:rFonts w:cs="Arial"/>
        </w:rPr>
        <w:t xml:space="preserve">de </w:t>
      </w:r>
      <w:r w:rsidR="005A6898" w:rsidRPr="00306C67">
        <w:rPr>
          <w:rFonts w:cs="Arial"/>
        </w:rPr>
        <w:t>leurs ultimes propriétaires</w:t>
      </w:r>
      <w:r w:rsidR="005A6898" w:rsidRPr="00306C67">
        <w:rPr>
          <w:rStyle w:val="Appelnotedebasdep"/>
          <w:rFonts w:cs="Arial"/>
        </w:rPr>
        <w:footnoteReference w:id="1"/>
      </w:r>
      <w:r w:rsidR="005A6898" w:rsidRPr="00306C67">
        <w:rPr>
          <w:rFonts w:cs="Arial"/>
        </w:rPr>
        <w:t>.</w:t>
      </w:r>
    </w:p>
    <w:p w14:paraId="045F532F" w14:textId="51E44C3A" w:rsidR="00B50B83" w:rsidRPr="00306C67" w:rsidRDefault="00CF3E6D" w:rsidP="00306C67">
      <w:pPr>
        <w:jc w:val="both"/>
      </w:pPr>
      <w:r w:rsidRPr="00306C67">
        <w:rPr>
          <w:rFonts w:cs="Arial"/>
          <w:color w:val="000000"/>
        </w:rPr>
        <w:t xml:space="preserve">Cet </w:t>
      </w:r>
      <w:r w:rsidR="000A5F97" w:rsidRPr="00306C67">
        <w:rPr>
          <w:rFonts w:cs="Arial"/>
          <w:color w:val="000000"/>
        </w:rPr>
        <w:t xml:space="preserve">objectif de </w:t>
      </w:r>
      <w:r w:rsidR="00D6579A" w:rsidRPr="00306C67">
        <w:rPr>
          <w:rFonts w:cs="Arial"/>
          <w:color w:val="000000"/>
        </w:rPr>
        <w:t xml:space="preserve">transparence </w:t>
      </w:r>
      <w:r w:rsidR="005A4B1A" w:rsidRPr="00306C67">
        <w:rPr>
          <w:rFonts w:cs="Arial"/>
          <w:color w:val="000000"/>
        </w:rPr>
        <w:t>était déjà au cœur de l</w:t>
      </w:r>
      <w:r w:rsidR="00795A6D" w:rsidRPr="00306C67">
        <w:rPr>
          <w:rFonts w:cs="Arial"/>
          <w:color w:val="000000"/>
        </w:rPr>
        <w:t>a 4</w:t>
      </w:r>
      <w:r w:rsidR="00795A6D" w:rsidRPr="00306C67">
        <w:rPr>
          <w:rFonts w:cs="Arial"/>
          <w:color w:val="000000"/>
          <w:vertAlign w:val="superscript"/>
        </w:rPr>
        <w:t>ème</w:t>
      </w:r>
      <w:r w:rsidR="00795A6D" w:rsidRPr="00306C67">
        <w:rPr>
          <w:rFonts w:cs="Arial"/>
          <w:color w:val="000000"/>
        </w:rPr>
        <w:t xml:space="preserve"> directive anti-blanchiment </w:t>
      </w:r>
      <w:r w:rsidR="005A4B1A" w:rsidRPr="00306C67">
        <w:rPr>
          <w:rFonts w:cs="Arial"/>
          <w:color w:val="000000"/>
        </w:rPr>
        <w:t xml:space="preserve">qui </w:t>
      </w:r>
      <w:r w:rsidR="00795A6D" w:rsidRPr="00306C67">
        <w:rPr>
          <w:rFonts w:cs="Arial"/>
          <w:color w:val="000000"/>
        </w:rPr>
        <w:t xml:space="preserve">avait </w:t>
      </w:r>
      <w:r w:rsidR="007E53DD" w:rsidRPr="00306C67">
        <w:rPr>
          <w:rFonts w:cs="Arial"/>
          <w:color w:val="000000"/>
        </w:rPr>
        <w:t xml:space="preserve">imposé aux Etats </w:t>
      </w:r>
      <w:r w:rsidR="005E7B63">
        <w:rPr>
          <w:rFonts w:cs="Arial"/>
          <w:color w:val="000000"/>
        </w:rPr>
        <w:t>m</w:t>
      </w:r>
      <w:r w:rsidR="00795A6D" w:rsidRPr="00306C67">
        <w:rPr>
          <w:rFonts w:cs="Arial"/>
          <w:color w:val="000000"/>
        </w:rPr>
        <w:t>embres</w:t>
      </w:r>
      <w:r w:rsidR="005E7B63">
        <w:rPr>
          <w:rFonts w:cs="Arial"/>
          <w:color w:val="000000"/>
        </w:rPr>
        <w:t xml:space="preserve"> de l’Union européenne</w:t>
      </w:r>
      <w:r w:rsidR="00795A6D" w:rsidRPr="00306C67">
        <w:rPr>
          <w:rFonts w:cs="Arial"/>
          <w:color w:val="000000"/>
        </w:rPr>
        <w:t xml:space="preserve"> </w:t>
      </w:r>
      <w:r w:rsidR="007E53DD" w:rsidRPr="00306C67">
        <w:rPr>
          <w:rFonts w:cs="Arial"/>
          <w:color w:val="000000"/>
        </w:rPr>
        <w:t>de</w:t>
      </w:r>
      <w:r w:rsidR="00795A6D" w:rsidRPr="00306C67">
        <w:rPr>
          <w:rFonts w:cs="Arial"/>
          <w:color w:val="000000"/>
        </w:rPr>
        <w:t xml:space="preserve"> se doter d’un registre centralisé sur les bénéficiaires effectifs</w:t>
      </w:r>
      <w:r w:rsidR="00E8059C">
        <w:rPr>
          <w:rFonts w:cs="Arial"/>
          <w:color w:val="000000"/>
        </w:rPr>
        <w:t xml:space="preserve"> des sociétés</w:t>
      </w:r>
      <w:r w:rsidR="00595783">
        <w:rPr>
          <w:rFonts w:cs="Arial"/>
          <w:color w:val="000000"/>
        </w:rPr>
        <w:t xml:space="preserve"> constituées sur leur territoire</w:t>
      </w:r>
      <w:r w:rsidR="00351598">
        <w:rPr>
          <w:rFonts w:cs="Arial"/>
          <w:color w:val="000000"/>
        </w:rPr>
        <w:t xml:space="preserve">, </w:t>
      </w:r>
      <w:r w:rsidR="00B20CA3">
        <w:rPr>
          <w:rFonts w:cs="Arial"/>
          <w:color w:val="000000"/>
        </w:rPr>
        <w:t xml:space="preserve">ainsi que </w:t>
      </w:r>
      <w:r w:rsidR="00830DF1">
        <w:rPr>
          <w:rFonts w:cs="Arial"/>
          <w:color w:val="000000"/>
        </w:rPr>
        <w:t xml:space="preserve">des </w:t>
      </w:r>
      <w:r w:rsidR="00351598">
        <w:rPr>
          <w:rFonts w:cs="Arial"/>
          <w:color w:val="000000"/>
        </w:rPr>
        <w:t>trusts et fiducies</w:t>
      </w:r>
      <w:r w:rsidR="00B20CA3">
        <w:rPr>
          <w:rFonts w:cs="Arial"/>
          <w:color w:val="000000"/>
        </w:rPr>
        <w:t xml:space="preserve"> régis par leur droit</w:t>
      </w:r>
      <w:r w:rsidR="008412D3" w:rsidRPr="00306C67">
        <w:rPr>
          <w:rStyle w:val="Appelnotedebasdep"/>
          <w:rFonts w:cs="Arial"/>
          <w:color w:val="000000"/>
        </w:rPr>
        <w:footnoteReference w:id="2"/>
      </w:r>
      <w:r w:rsidR="00795A6D" w:rsidRPr="00306C67">
        <w:rPr>
          <w:rFonts w:cs="Arial"/>
          <w:color w:val="000000"/>
        </w:rPr>
        <w:t>.</w:t>
      </w:r>
      <w:r w:rsidR="008412D3" w:rsidRPr="00306C67">
        <w:rPr>
          <w:rFonts w:cs="Arial"/>
          <w:color w:val="000000"/>
        </w:rPr>
        <w:t xml:space="preserve"> </w:t>
      </w:r>
      <w:r w:rsidR="00B957CD" w:rsidRPr="00306C67">
        <w:rPr>
          <w:rFonts w:cs="Arial"/>
          <w:color w:val="000000"/>
        </w:rPr>
        <w:t>Reprenant l’une des recommandations formulées par le Groupe d’Action Financière (« GAFI »)</w:t>
      </w:r>
      <w:r w:rsidR="00B957CD" w:rsidRPr="00306C67">
        <w:rPr>
          <w:rStyle w:val="Appelnotedebasdep"/>
          <w:rFonts w:cs="Arial"/>
          <w:color w:val="000000"/>
        </w:rPr>
        <w:footnoteReference w:id="3"/>
      </w:r>
      <w:r w:rsidR="00B957CD" w:rsidRPr="00306C67">
        <w:rPr>
          <w:rFonts w:cs="Arial"/>
          <w:color w:val="000000"/>
        </w:rPr>
        <w:t xml:space="preserve">, </w:t>
      </w:r>
      <w:r w:rsidR="00B957CD" w:rsidRPr="00306C67">
        <w:t>l</w:t>
      </w:r>
      <w:r w:rsidR="00AD71A5" w:rsidRPr="00306C67">
        <w:t>a 5</w:t>
      </w:r>
      <w:r w:rsidR="00AD71A5" w:rsidRPr="00306C67">
        <w:rPr>
          <w:vertAlign w:val="superscript"/>
        </w:rPr>
        <w:t>ème</w:t>
      </w:r>
      <w:r w:rsidR="00AD71A5" w:rsidRPr="00306C67">
        <w:t xml:space="preserve"> directiv</w:t>
      </w:r>
      <w:r w:rsidR="0007161D" w:rsidRPr="00306C67">
        <w:t>e</w:t>
      </w:r>
      <w:r w:rsidR="00E0534E" w:rsidRPr="00306C67">
        <w:t xml:space="preserve"> </w:t>
      </w:r>
      <w:r w:rsidR="007E53DD" w:rsidRPr="00306C67">
        <w:t xml:space="preserve">exige </w:t>
      </w:r>
      <w:r w:rsidR="0007161D" w:rsidRPr="00306C67">
        <w:t xml:space="preserve">désormais </w:t>
      </w:r>
      <w:r w:rsidR="007E53DD" w:rsidRPr="00306C67">
        <w:t xml:space="preserve">des Etats </w:t>
      </w:r>
      <w:r w:rsidR="005E7B63">
        <w:t>m</w:t>
      </w:r>
      <w:r w:rsidR="007E53DD" w:rsidRPr="00306C67">
        <w:t>embre</w:t>
      </w:r>
      <w:r w:rsidR="005E7B63">
        <w:t>s</w:t>
      </w:r>
      <w:r w:rsidR="007E53DD" w:rsidRPr="00306C67">
        <w:t xml:space="preserve"> qu’ils ouvrent au public </w:t>
      </w:r>
      <w:r w:rsidR="00045DBE">
        <w:t>leurs</w:t>
      </w:r>
      <w:r w:rsidR="009520E3" w:rsidRPr="00306C67">
        <w:t xml:space="preserve"> </w:t>
      </w:r>
      <w:r w:rsidR="00F46E59" w:rsidRPr="00306C67">
        <w:t>registres</w:t>
      </w:r>
      <w:r w:rsidR="009520E3">
        <w:t xml:space="preserve"> sur les bénéficiaires effectifs des sociétés</w:t>
      </w:r>
      <w:r w:rsidR="00F46E59" w:rsidRPr="00306C67">
        <w:t xml:space="preserve">. </w:t>
      </w:r>
      <w:r w:rsidR="00B50B83" w:rsidRPr="00306C67">
        <w:t>Le texte européen fait de la transparence un « puissant moyen de dissuasion »</w:t>
      </w:r>
      <w:r w:rsidR="00B50B83" w:rsidRPr="00306C67">
        <w:rPr>
          <w:rStyle w:val="Appelnotedebasdep"/>
        </w:rPr>
        <w:footnoteReference w:id="4"/>
      </w:r>
      <w:r w:rsidR="00141A06" w:rsidRPr="00306C67">
        <w:t>. Il</w:t>
      </w:r>
      <w:r w:rsidR="00D26297" w:rsidRPr="00306C67">
        <w:t xml:space="preserve"> </w:t>
      </w:r>
      <w:r w:rsidR="00B50B83" w:rsidRPr="00306C67">
        <w:t>confie</w:t>
      </w:r>
      <w:r w:rsidR="00141A06" w:rsidRPr="00306C67">
        <w:t xml:space="preserve"> </w:t>
      </w:r>
      <w:r w:rsidR="00B50B83" w:rsidRPr="00306C67">
        <w:t>à la société civile un rôle clé dans la prévention du blanchiment de capitaux en lui permettant d’exercer un « contrôle accru » sur les informations contenues dans les registres sur les bénéficiaires effectifs</w:t>
      </w:r>
      <w:r w:rsidR="00B50B83" w:rsidRPr="00306C67">
        <w:rPr>
          <w:rStyle w:val="Appelnotedebasdep"/>
          <w:rFonts w:cs="Arial"/>
          <w:color w:val="000000"/>
        </w:rPr>
        <w:footnoteReference w:id="5"/>
      </w:r>
      <w:r w:rsidR="00B50B83" w:rsidRPr="00306C67">
        <w:t xml:space="preserve">. </w:t>
      </w:r>
      <w:r w:rsidR="00C84240">
        <w:t xml:space="preserve">La directive n’impose toutefois pas aux Etats membres d’ouvrir au public leurs registres sur les trusts et fiducies. </w:t>
      </w:r>
    </w:p>
    <w:p w14:paraId="1F2187CF" w14:textId="075CF4F8" w:rsidR="00F92822" w:rsidRPr="00306C67" w:rsidRDefault="00F46E59" w:rsidP="00306C67">
      <w:pPr>
        <w:jc w:val="both"/>
      </w:pPr>
      <w:r w:rsidRPr="00306C67">
        <w:t xml:space="preserve">Les </w:t>
      </w:r>
      <w:r w:rsidR="00CF3E6D" w:rsidRPr="00306C67">
        <w:t xml:space="preserve">27 Etats de l’Union européenne </w:t>
      </w:r>
      <w:r w:rsidRPr="00306C67">
        <w:t>doivent ainsi</w:t>
      </w:r>
      <w:r w:rsidR="00AD71A5" w:rsidRPr="00306C67">
        <w:t xml:space="preserve"> veiller à ce que les informations sur les bénéficiaires effectifs, ou tout du moins </w:t>
      </w:r>
      <w:r w:rsidR="00DB5555" w:rsidRPr="00306C67">
        <w:t>celles</w:t>
      </w:r>
      <w:r w:rsidR="00AD71A5" w:rsidRPr="00306C67">
        <w:t xml:space="preserve"> portant sur le nom, le mois et l’année de naissance, le pays de résidence et la nationalité du bénéficiaire effectif, ainsi que la nature et l’étendue des intérêts effectifs détenus, soient accessibles « à tout membre du grand public »</w:t>
      </w:r>
      <w:r w:rsidR="00AD71A5" w:rsidRPr="00306C67">
        <w:rPr>
          <w:rStyle w:val="Appelnotedebasdep"/>
        </w:rPr>
        <w:footnoteReference w:id="6"/>
      </w:r>
      <w:r w:rsidR="00AD71A5" w:rsidRPr="00306C67">
        <w:t>.</w:t>
      </w:r>
    </w:p>
    <w:p w14:paraId="7ED8D298" w14:textId="60A123DF" w:rsidR="009E1566" w:rsidRPr="00306C67" w:rsidRDefault="0071035A" w:rsidP="00306C67">
      <w:pPr>
        <w:jc w:val="both"/>
      </w:pPr>
      <w:r w:rsidRPr="00306C67">
        <w:t xml:space="preserve">Pour la France, comme pour les autres Etats </w:t>
      </w:r>
      <w:r w:rsidR="005E7B63">
        <w:t>m</w:t>
      </w:r>
      <w:r w:rsidRPr="00306C67">
        <w:t>embres, l</w:t>
      </w:r>
      <w:r w:rsidR="007208B6" w:rsidRPr="00306C67">
        <w:t xml:space="preserve">a transposition </w:t>
      </w:r>
      <w:r w:rsidR="00C21464" w:rsidRPr="00306C67">
        <w:t>de cette mesure</w:t>
      </w:r>
      <w:r w:rsidR="00872782" w:rsidRPr="00306C67">
        <w:t xml:space="preserve"> européenne</w:t>
      </w:r>
      <w:r w:rsidR="007C32E1" w:rsidRPr="00306C67">
        <w:t xml:space="preserve"> </w:t>
      </w:r>
      <w:r w:rsidRPr="00306C67">
        <w:t xml:space="preserve">pose </w:t>
      </w:r>
      <w:r w:rsidR="00350705" w:rsidRPr="00306C67">
        <w:t>à la fois</w:t>
      </w:r>
      <w:r w:rsidR="00FD313B" w:rsidRPr="00306C67">
        <w:t xml:space="preserve"> la question </w:t>
      </w:r>
      <w:r w:rsidR="00F57B9C" w:rsidRPr="00306C67">
        <w:t xml:space="preserve">de la solidité des mécanismes de contrôle mis en place </w:t>
      </w:r>
      <w:r w:rsidR="00B50B83" w:rsidRPr="00306C67">
        <w:t xml:space="preserve">depuis 2017 </w:t>
      </w:r>
      <w:r w:rsidR="00F57B9C" w:rsidRPr="00306C67">
        <w:t xml:space="preserve">pour </w:t>
      </w:r>
      <w:r w:rsidR="00F57B9C" w:rsidRPr="00306C67">
        <w:lastRenderedPageBreak/>
        <w:t>vérifier les informations transmises par les sociétés sur leur</w:t>
      </w:r>
      <w:r w:rsidR="00223B05" w:rsidRPr="00306C67">
        <w:t>s</w:t>
      </w:r>
      <w:r w:rsidR="00F57B9C" w:rsidRPr="00306C67">
        <w:t xml:space="preserve"> bénéficiaire</w:t>
      </w:r>
      <w:r w:rsidR="00223B05" w:rsidRPr="00306C67">
        <w:t>s</w:t>
      </w:r>
      <w:r w:rsidR="00F57B9C" w:rsidRPr="00306C67">
        <w:t xml:space="preserve"> effectif</w:t>
      </w:r>
      <w:r w:rsidR="00223B05" w:rsidRPr="00306C67">
        <w:t>s</w:t>
      </w:r>
      <w:r w:rsidR="00350705" w:rsidRPr="00306C67">
        <w:t>,</w:t>
      </w:r>
      <w:r w:rsidR="00F57B9C" w:rsidRPr="00306C67">
        <w:t xml:space="preserve"> ainsi que</w:t>
      </w:r>
      <w:r w:rsidR="00D25C37" w:rsidRPr="00306C67">
        <w:t xml:space="preserve"> </w:t>
      </w:r>
      <w:r w:rsidR="00125F48" w:rsidRPr="00306C67">
        <w:t xml:space="preserve">celle des </w:t>
      </w:r>
      <w:r w:rsidR="00D25C37" w:rsidRPr="00306C67">
        <w:t>modalités selon lesquelles la société civile pourra accéder à ces informations</w:t>
      </w:r>
      <w:r w:rsidR="00F57B9C" w:rsidRPr="00306C67">
        <w:t xml:space="preserve">.  </w:t>
      </w:r>
    </w:p>
    <w:p w14:paraId="733240CF" w14:textId="3499DB58" w:rsidR="005F3CB9" w:rsidRPr="00306C67" w:rsidRDefault="005F3CB9" w:rsidP="00306C67">
      <w:pPr>
        <w:pStyle w:val="Paragraphedeliste"/>
        <w:numPr>
          <w:ilvl w:val="0"/>
          <w:numId w:val="3"/>
        </w:numPr>
        <w:jc w:val="both"/>
        <w:rPr>
          <w:b/>
          <w:bCs/>
        </w:rPr>
      </w:pPr>
      <w:r w:rsidRPr="00306C67">
        <w:rPr>
          <w:b/>
          <w:bCs/>
        </w:rPr>
        <w:t xml:space="preserve">Le contrôle </w:t>
      </w:r>
      <w:r w:rsidR="007B17F9" w:rsidRPr="00306C67">
        <w:rPr>
          <w:b/>
          <w:bCs/>
        </w:rPr>
        <w:t>des</w:t>
      </w:r>
      <w:r w:rsidRPr="00306C67">
        <w:rPr>
          <w:b/>
          <w:bCs/>
        </w:rPr>
        <w:t xml:space="preserve"> informations </w:t>
      </w:r>
      <w:r w:rsidR="00F57B9C" w:rsidRPr="00306C67">
        <w:rPr>
          <w:b/>
          <w:bCs/>
        </w:rPr>
        <w:t>sur</w:t>
      </w:r>
      <w:r w:rsidRPr="00306C67">
        <w:rPr>
          <w:b/>
          <w:bCs/>
        </w:rPr>
        <w:t xml:space="preserve"> les bénéficiaires effectifs en France</w:t>
      </w:r>
      <w:r w:rsidRPr="00306C67">
        <w:t xml:space="preserve"> : </w:t>
      </w:r>
    </w:p>
    <w:p w14:paraId="40EEF743" w14:textId="509167C4" w:rsidR="00FC5AF5" w:rsidRPr="00306C67" w:rsidRDefault="007A4865" w:rsidP="00306C67">
      <w:pPr>
        <w:jc w:val="both"/>
        <w:rPr>
          <w:rFonts w:cs="Arial"/>
          <w:color w:val="000000"/>
        </w:rPr>
      </w:pPr>
      <w:r w:rsidRPr="00306C67">
        <w:rPr>
          <w:rFonts w:cs="Arial"/>
        </w:rPr>
        <w:t xml:space="preserve">Les textes européens imposent aux </w:t>
      </w:r>
      <w:r w:rsidRPr="00306C67">
        <w:t xml:space="preserve">Etats </w:t>
      </w:r>
      <w:r w:rsidR="005E7B63">
        <w:t>m</w:t>
      </w:r>
      <w:r w:rsidRPr="00306C67">
        <w:t>embres de mettre en place des mécanismes permettant de s’assurer que les informations conservées dans le registre centralisé sur les bénéficiaires effectifs sont « adéquates, exactes et actuelles »</w:t>
      </w:r>
      <w:r w:rsidRPr="00306C67">
        <w:rPr>
          <w:rStyle w:val="Appelnotedebasdep"/>
          <w:rFonts w:cs="Arial"/>
          <w:color w:val="000000"/>
        </w:rPr>
        <w:footnoteReference w:id="7"/>
      </w:r>
      <w:r w:rsidRPr="00306C67">
        <w:rPr>
          <w:rFonts w:cs="Arial"/>
          <w:color w:val="000000"/>
        </w:rPr>
        <w:t xml:space="preserve">. </w:t>
      </w:r>
    </w:p>
    <w:p w14:paraId="729A8E18" w14:textId="4B1DF746" w:rsidR="00E53B0A" w:rsidRPr="00306C67" w:rsidRDefault="00833C00" w:rsidP="00306C67">
      <w:pPr>
        <w:jc w:val="both"/>
        <w:rPr>
          <w:rFonts w:cs="Arial"/>
        </w:rPr>
      </w:pPr>
      <w:r w:rsidRPr="00306C67">
        <w:t>La France dispose d’un registre centralisé sur les bénéficiaires effectifs depuis 2017</w:t>
      </w:r>
      <w:r w:rsidRPr="00306C67">
        <w:rPr>
          <w:rStyle w:val="Appelnotedebasdep"/>
        </w:rPr>
        <w:footnoteReference w:id="8"/>
      </w:r>
      <w:r w:rsidRPr="00306C67">
        <w:t xml:space="preserve">. </w:t>
      </w:r>
      <w:r w:rsidR="001A7B64" w:rsidRPr="00306C67">
        <w:t>Dès cette date, a</w:t>
      </w:r>
      <w:r w:rsidR="005F3CB9" w:rsidRPr="00306C67">
        <w:t xml:space="preserve">fin d’assurer la fiabilité et l’exactitude des informations qui figurent dans </w:t>
      </w:r>
      <w:r w:rsidR="00823A89" w:rsidRPr="00306C67">
        <w:t>ce</w:t>
      </w:r>
      <w:r w:rsidR="005F3CB9" w:rsidRPr="00306C67">
        <w:t xml:space="preserve"> registre, les greffiers des tribunaux de commerce ont été</w:t>
      </w:r>
      <w:r w:rsidR="007A4865" w:rsidRPr="00306C67">
        <w:t xml:space="preserve"> </w:t>
      </w:r>
      <w:r w:rsidR="005F3CB9" w:rsidRPr="00306C67">
        <w:t>dotés par le législateur d’un pouvoir de contrôle comparable à celui qu’ils exercent sur les demandes d’immatriculation ou de modification au registre du commerce et des sociétés</w:t>
      </w:r>
      <w:r w:rsidR="00870AA8" w:rsidRPr="00306C67">
        <w:t xml:space="preserve"> (« RCS »)</w:t>
      </w:r>
      <w:r w:rsidR="005F3CB9" w:rsidRPr="00306C67">
        <w:rPr>
          <w:rStyle w:val="Appelnotedebasdep"/>
        </w:rPr>
        <w:footnoteReference w:id="9"/>
      </w:r>
      <w:r w:rsidR="005F3CB9" w:rsidRPr="00306C67">
        <w:t xml:space="preserve">. </w:t>
      </w:r>
    </w:p>
    <w:p w14:paraId="2736AEAC" w14:textId="2094D906" w:rsidR="00732257" w:rsidRPr="00306C67" w:rsidRDefault="00002E27" w:rsidP="00306C67">
      <w:pPr>
        <w:jc w:val="both"/>
        <w:rPr>
          <w:rFonts w:cs="Arial"/>
        </w:rPr>
      </w:pPr>
      <w:r>
        <w:rPr>
          <w:rFonts w:cs="Arial"/>
        </w:rPr>
        <w:t>La transposition de la 4</w:t>
      </w:r>
      <w:r w:rsidRPr="00AB2F2B">
        <w:rPr>
          <w:rFonts w:cs="Arial"/>
          <w:vertAlign w:val="superscript"/>
        </w:rPr>
        <w:t>ème</w:t>
      </w:r>
      <w:r>
        <w:rPr>
          <w:rFonts w:cs="Arial"/>
        </w:rPr>
        <w:t xml:space="preserve"> directive a conduit l</w:t>
      </w:r>
      <w:r w:rsidR="007A1348" w:rsidRPr="00306C67">
        <w:rPr>
          <w:rFonts w:cs="Arial"/>
        </w:rPr>
        <w:t>e</w:t>
      </w:r>
      <w:r w:rsidR="00732257" w:rsidRPr="00306C67">
        <w:rPr>
          <w:rFonts w:cs="Arial"/>
        </w:rPr>
        <w:t xml:space="preserve"> législateur français </w:t>
      </w:r>
      <w:r w:rsidR="00AB2F2B">
        <w:rPr>
          <w:rFonts w:cs="Arial"/>
        </w:rPr>
        <w:t>à soumettre</w:t>
      </w:r>
      <w:r w:rsidR="00030566" w:rsidRPr="00306C67">
        <w:rPr>
          <w:rFonts w:cs="Arial"/>
        </w:rPr>
        <w:t xml:space="preserve"> les </w:t>
      </w:r>
      <w:r w:rsidR="00732257" w:rsidRPr="00306C67">
        <w:rPr>
          <w:rFonts w:cs="Arial"/>
        </w:rPr>
        <w:t xml:space="preserve">entités </w:t>
      </w:r>
      <w:r w:rsidR="00870AA8" w:rsidRPr="00306C67">
        <w:rPr>
          <w:rFonts w:cs="Arial"/>
        </w:rPr>
        <w:t>tenues de s’immatriculer au RCS</w:t>
      </w:r>
      <w:r w:rsidR="00030566" w:rsidRPr="00306C67">
        <w:rPr>
          <w:rFonts w:cs="Arial"/>
        </w:rPr>
        <w:t xml:space="preserve"> à deux obligations</w:t>
      </w:r>
      <w:r w:rsidR="00236725" w:rsidRPr="00306C67">
        <w:rPr>
          <w:rStyle w:val="Appelnotedebasdep"/>
          <w:rFonts w:cs="Arial"/>
        </w:rPr>
        <w:footnoteReference w:id="10"/>
      </w:r>
      <w:r w:rsidR="00030566" w:rsidRPr="00306C67">
        <w:rPr>
          <w:rFonts w:cs="Arial"/>
        </w:rPr>
        <w:t xml:space="preserve">. </w:t>
      </w:r>
      <w:r w:rsidR="0034084F" w:rsidRPr="00306C67">
        <w:rPr>
          <w:rFonts w:cs="Arial"/>
        </w:rPr>
        <w:t xml:space="preserve">Une </w:t>
      </w:r>
      <w:r w:rsidR="002B7A23" w:rsidRPr="00306C67">
        <w:rPr>
          <w:rFonts w:cs="Arial"/>
        </w:rPr>
        <w:t>ob</w:t>
      </w:r>
      <w:r w:rsidR="0034084F" w:rsidRPr="00306C67">
        <w:rPr>
          <w:rFonts w:cs="Arial"/>
        </w:rPr>
        <w:t>ligation d’identification d’une part</w:t>
      </w:r>
      <w:r w:rsidR="002B7A23" w:rsidRPr="00306C67">
        <w:rPr>
          <w:rFonts w:cs="Arial"/>
        </w:rPr>
        <w:t xml:space="preserve">, consistant à </w:t>
      </w:r>
      <w:r w:rsidR="008A01B2" w:rsidRPr="00306C67">
        <w:rPr>
          <w:rFonts w:cs="Arial"/>
        </w:rPr>
        <w:t xml:space="preserve">« obtenir et conserver des informations exactes et actualisées sur leurs bénéficiaires effectifs ». </w:t>
      </w:r>
      <w:r w:rsidR="002B7A23" w:rsidRPr="00306C67">
        <w:rPr>
          <w:rFonts w:cs="Arial"/>
        </w:rPr>
        <w:t xml:space="preserve">Une obligation de déclaration d’autre part, consistant à déposer au RCS </w:t>
      </w:r>
      <w:r w:rsidR="00A0089B" w:rsidRPr="00306C67">
        <w:rPr>
          <w:rFonts w:cs="Arial"/>
        </w:rPr>
        <w:t xml:space="preserve">un document relatif aux informations </w:t>
      </w:r>
      <w:r w:rsidR="00A72FEC" w:rsidRPr="00306C67">
        <w:rPr>
          <w:rFonts w:cs="Arial"/>
        </w:rPr>
        <w:t xml:space="preserve">à leur bénéficiaire effectif comportant des éléments d’identification. </w:t>
      </w:r>
      <w:r w:rsidR="006124A1" w:rsidRPr="00306C67">
        <w:rPr>
          <w:rFonts w:cs="Arial"/>
        </w:rPr>
        <w:t xml:space="preserve">Seul le </w:t>
      </w:r>
      <w:r w:rsidR="00BE1C13" w:rsidRPr="00306C67">
        <w:rPr>
          <w:rFonts w:cs="Arial"/>
        </w:rPr>
        <w:t>non-respect</w:t>
      </w:r>
      <w:r w:rsidR="006124A1" w:rsidRPr="00306C67">
        <w:rPr>
          <w:rFonts w:cs="Arial"/>
        </w:rPr>
        <w:t xml:space="preserve"> de cette dernière obligation </w:t>
      </w:r>
      <w:r w:rsidR="00BE1C13" w:rsidRPr="00306C67">
        <w:rPr>
          <w:rFonts w:cs="Arial"/>
        </w:rPr>
        <w:t xml:space="preserve">est sanctionné pénalement. </w:t>
      </w:r>
      <w:r w:rsidR="00F73908" w:rsidRPr="00306C67">
        <w:rPr>
          <w:rFonts w:cs="Arial"/>
        </w:rPr>
        <w:t xml:space="preserve"> </w:t>
      </w:r>
    </w:p>
    <w:p w14:paraId="13B10385" w14:textId="7FB4DD5E" w:rsidR="00A808B9" w:rsidRPr="00306C67" w:rsidRDefault="00CB2971" w:rsidP="00306C67">
      <w:pPr>
        <w:jc w:val="both"/>
        <w:rPr>
          <w:rFonts w:cs="Arial"/>
          <w:color w:val="000000"/>
        </w:rPr>
      </w:pPr>
      <w:r w:rsidRPr="00306C67">
        <w:t xml:space="preserve">A la fin de l’année 2019, </w:t>
      </w:r>
      <w:r w:rsidRPr="00306C67">
        <w:rPr>
          <w:rFonts w:cs="Arial"/>
          <w:color w:val="000000"/>
        </w:rPr>
        <w:t>plus de deux ans après sa création, le registre français sur les bénéficiaires effectifs comprenait seulement deux tiers des entités soumises à l’obligation de déclaration</w:t>
      </w:r>
      <w:r w:rsidRPr="00306C67">
        <w:rPr>
          <w:rStyle w:val="Appelnotedebasdep"/>
        </w:rPr>
        <w:footnoteReference w:id="11"/>
      </w:r>
      <w:r w:rsidRPr="00306C67">
        <w:rPr>
          <w:rFonts w:cs="Arial"/>
          <w:color w:val="000000"/>
        </w:rPr>
        <w:t>.</w:t>
      </w:r>
      <w:r w:rsidR="00C06F6E" w:rsidRPr="00306C67">
        <w:rPr>
          <w:rFonts w:cs="Arial"/>
          <w:color w:val="000000"/>
        </w:rPr>
        <w:t xml:space="preserve"> </w:t>
      </w:r>
      <w:r w:rsidR="00B303F4" w:rsidRPr="00306C67">
        <w:rPr>
          <w:rFonts w:cs="Arial"/>
          <w:color w:val="000000"/>
        </w:rPr>
        <w:t xml:space="preserve">En outre, </w:t>
      </w:r>
      <w:r w:rsidR="009717DB" w:rsidRPr="00306C67">
        <w:rPr>
          <w:rFonts w:cs="Arial"/>
          <w:color w:val="000000"/>
        </w:rPr>
        <w:t xml:space="preserve">quelques mois à peine après le déploiement du registre, les greffiers des tribunaux de commerce </w:t>
      </w:r>
      <w:r w:rsidR="00223E10" w:rsidRPr="00306C67">
        <w:rPr>
          <w:rFonts w:cs="Arial"/>
          <w:color w:val="000000"/>
        </w:rPr>
        <w:t xml:space="preserve">voyaient </w:t>
      </w:r>
      <w:r w:rsidR="00415011" w:rsidRPr="00306C67">
        <w:rPr>
          <w:rFonts w:cs="Arial"/>
          <w:color w:val="000000"/>
        </w:rPr>
        <w:t xml:space="preserve">diminuer </w:t>
      </w:r>
      <w:r w:rsidR="009717DB" w:rsidRPr="00306C67">
        <w:rPr>
          <w:rFonts w:cs="Arial"/>
          <w:color w:val="000000"/>
        </w:rPr>
        <w:t xml:space="preserve">leurs </w:t>
      </w:r>
      <w:r w:rsidR="009717DB" w:rsidRPr="00306C67">
        <w:t xml:space="preserve">ressources </w:t>
      </w:r>
      <w:r w:rsidR="009717DB" w:rsidRPr="00306C67">
        <w:rPr>
          <w:rFonts w:cs="Arial"/>
          <w:color w:val="000000"/>
        </w:rPr>
        <w:t>allouées au contrôle des informations fournies par les sociétés sur leurs bénéficiaires effectifs</w:t>
      </w:r>
      <w:r w:rsidR="009717DB" w:rsidRPr="00306C67">
        <w:rPr>
          <w:rStyle w:val="Appelnotedebasdep"/>
        </w:rPr>
        <w:footnoteReference w:id="12"/>
      </w:r>
      <w:r w:rsidR="009717DB" w:rsidRPr="00306C67">
        <w:rPr>
          <w:rFonts w:cs="Arial"/>
          <w:color w:val="000000"/>
        </w:rPr>
        <w:t xml:space="preserve">. </w:t>
      </w:r>
    </w:p>
    <w:p w14:paraId="2C815810" w14:textId="03871365" w:rsidR="005F3CB9" w:rsidRPr="00306C67" w:rsidRDefault="005F3CB9" w:rsidP="00306C67">
      <w:pPr>
        <w:jc w:val="both"/>
      </w:pPr>
      <w:r w:rsidRPr="00306C67">
        <w:rPr>
          <w:rFonts w:cs="Arial"/>
          <w:color w:val="000000"/>
        </w:rPr>
        <w:t>La baisse de ces ressources couplée au constat</w:t>
      </w:r>
      <w:r w:rsidR="006C28DB" w:rsidRPr="00306C67">
        <w:rPr>
          <w:rFonts w:cs="Arial"/>
          <w:color w:val="000000"/>
        </w:rPr>
        <w:t xml:space="preserve"> </w:t>
      </w:r>
      <w:r w:rsidRPr="00306C67">
        <w:rPr>
          <w:rFonts w:cs="Arial"/>
          <w:color w:val="000000"/>
        </w:rPr>
        <w:t xml:space="preserve">d’un registre incomplet affaiblit le dispositif français de lutte anti-blanchiment. L’existence d’informations exactes et actualisées sur les bénéficiaires effectifs est pourtant un pilier du dispositif préventif de lutte contre le blanchiment de capitaux. Ainsi, par exemple, </w:t>
      </w:r>
      <w:r w:rsidRPr="00306C67">
        <w:t>les personnes assujetties à la lutte contre le blanchiment et le financement du terrorisme</w:t>
      </w:r>
      <w:r w:rsidRPr="00306C67">
        <w:rPr>
          <w:rStyle w:val="Appelnotedebasdep"/>
          <w:rFonts w:cs="Arial"/>
          <w:color w:val="000000"/>
        </w:rPr>
        <w:footnoteReference w:id="13"/>
      </w:r>
      <w:r w:rsidRPr="00306C67">
        <w:t>, parmi lesquelles les établissement</w:t>
      </w:r>
      <w:r w:rsidR="00987CA9">
        <w:t>s</w:t>
      </w:r>
      <w:r w:rsidRPr="00306C67">
        <w:t xml:space="preserve"> bancaires, ont accès à l’intégralité des données contenues dans le registre des bénéficiaires effectifs dans le cadre des mesures de vigilance qu’elles doivent mettre en œuvre à l’égard de leur clientèle</w:t>
      </w:r>
      <w:r w:rsidRPr="00306C67">
        <w:rPr>
          <w:rStyle w:val="Appelnotedebasdep"/>
        </w:rPr>
        <w:footnoteReference w:id="14"/>
      </w:r>
      <w:r w:rsidRPr="00306C67">
        <w:t xml:space="preserve">. </w:t>
      </w:r>
    </w:p>
    <w:p w14:paraId="791C1DF3" w14:textId="265917B0" w:rsidR="005F3CB9" w:rsidRPr="00306C67" w:rsidRDefault="005F3CB9" w:rsidP="00306C67">
      <w:pPr>
        <w:jc w:val="both"/>
      </w:pPr>
      <w:r w:rsidRPr="00306C67">
        <w:lastRenderedPageBreak/>
        <w:t xml:space="preserve">Un registre sur les bénéficiaires effectifs incomplet a donc un impact certain sur la qualité des mesures de vigilance exercées par ces acteurs. A cet égard, les </w:t>
      </w:r>
      <w:r w:rsidR="00210C89" w:rsidRPr="00306C67">
        <w:t xml:space="preserve">derniers </w:t>
      </w:r>
      <w:r w:rsidRPr="00306C67">
        <w:t>chiffres fournis par TracFin, la cellule française de renseignement financier, sont évocateurs. En 2018, seules 9 % des déclarations de soupçon transmises par les professionnels du secteur financier ont porté sur des personnes morales</w:t>
      </w:r>
      <w:r w:rsidRPr="00306C67">
        <w:rPr>
          <w:rStyle w:val="Appelnotedebasdep"/>
        </w:rPr>
        <w:footnoteReference w:id="15"/>
      </w:r>
      <w:r w:rsidRPr="00306C67">
        <w:t>.</w:t>
      </w:r>
      <w:r w:rsidR="0093214A" w:rsidRPr="00306C67">
        <w:t xml:space="preserve"> </w:t>
      </w:r>
      <w:r w:rsidR="008A0ADA" w:rsidRPr="00306C67">
        <w:t xml:space="preserve">Ceci, alors que </w:t>
      </w:r>
      <w:r w:rsidR="0094611B" w:rsidRPr="00306C67">
        <w:t>l</w:t>
      </w:r>
      <w:r w:rsidR="00F756DC" w:rsidRPr="00306C67">
        <w:t>’utilisation de</w:t>
      </w:r>
      <w:r w:rsidR="00B5665D" w:rsidRPr="00306C67">
        <w:t xml:space="preserve"> </w:t>
      </w:r>
      <w:r w:rsidR="00A4180B" w:rsidRPr="00306C67">
        <w:t>sociétés</w:t>
      </w:r>
      <w:r w:rsidR="00BA3A40" w:rsidRPr="00306C67">
        <w:t xml:space="preserve"> </w:t>
      </w:r>
      <w:r w:rsidR="00A4180B" w:rsidRPr="00306C67">
        <w:t>et autres entités juridiques</w:t>
      </w:r>
      <w:r w:rsidR="00B5665D" w:rsidRPr="00306C67">
        <w:t xml:space="preserve"> </w:t>
      </w:r>
      <w:r w:rsidR="0094611B" w:rsidRPr="00306C67">
        <w:t>est</w:t>
      </w:r>
      <w:r w:rsidR="00210C89" w:rsidRPr="00306C67">
        <w:t xml:space="preserve"> au cœur des schémas de blanchiment</w:t>
      </w:r>
      <w:r w:rsidR="0094611B" w:rsidRPr="00306C67">
        <w:t>.</w:t>
      </w:r>
    </w:p>
    <w:p w14:paraId="58C00C03" w14:textId="450292F7" w:rsidR="00FA626D" w:rsidRPr="00306C67" w:rsidRDefault="00994D68" w:rsidP="00306C67">
      <w:pPr>
        <w:jc w:val="both"/>
      </w:pPr>
      <w:r w:rsidRPr="00306C67">
        <w:t>L</w:t>
      </w:r>
      <w:r w:rsidR="00217DFD" w:rsidRPr="00306C67">
        <w:t>a transposition de la 5</w:t>
      </w:r>
      <w:r w:rsidR="00217DFD" w:rsidRPr="00306C67">
        <w:rPr>
          <w:vertAlign w:val="superscript"/>
        </w:rPr>
        <w:t>ème</w:t>
      </w:r>
      <w:r w:rsidR="00217DFD" w:rsidRPr="00306C67">
        <w:t xml:space="preserve"> directive anti-blanchiment </w:t>
      </w:r>
      <w:r w:rsidR="00FA626D" w:rsidRPr="00306C67">
        <w:t xml:space="preserve">a </w:t>
      </w:r>
      <w:r w:rsidR="00164E8A">
        <w:t xml:space="preserve">récemment </w:t>
      </w:r>
      <w:r w:rsidR="00FA626D" w:rsidRPr="00306C67">
        <w:t>conduit la France à accroitre les obligations de transparence concernant les informations relatives aux bénéficiaires effectif</w:t>
      </w:r>
      <w:r w:rsidR="00A16FE9" w:rsidRPr="00306C67">
        <w:t>s</w:t>
      </w:r>
      <w:r w:rsidRPr="00306C67">
        <w:rPr>
          <w:rStyle w:val="Appelnotedebasdep"/>
        </w:rPr>
        <w:footnoteReference w:id="16"/>
      </w:r>
      <w:r w:rsidR="00FA626D" w:rsidRPr="00306C67">
        <w:t xml:space="preserve">. Ces derniers sont désormais tenus de fournir les informations permettant de les identifier sous peine de sanctions </w:t>
      </w:r>
      <w:r w:rsidR="00F81D7D" w:rsidRPr="00306C67">
        <w:t xml:space="preserve">pénales </w:t>
      </w:r>
      <w:r w:rsidR="00FA626D" w:rsidRPr="00306C67">
        <w:t>(création de l’article L. 574-6 du Code Monétaire et Financier</w:t>
      </w:r>
      <w:r w:rsidR="00217DFD" w:rsidRPr="00306C67">
        <w:t>)</w:t>
      </w:r>
      <w:r w:rsidR="00FA626D" w:rsidRPr="00306C67">
        <w:t>. De même, est introduit un mécanisme de signalement des divergences entre les informations détenues sur le bénéficiaire effectif par différentes sources</w:t>
      </w:r>
      <w:r w:rsidR="00BA1E89" w:rsidRPr="00306C67">
        <w:t xml:space="preserve"> – </w:t>
      </w:r>
      <w:r w:rsidR="00FA626D" w:rsidRPr="00306C67">
        <w:t>autres registres, entités assujetties aux obligations de lutte anti-blanchiment, autorités de contrôle</w:t>
      </w:r>
      <w:r w:rsidR="00BA1E89" w:rsidRPr="00306C67">
        <w:t>, etc.</w:t>
      </w:r>
      <w:r w:rsidR="00FA626D" w:rsidRPr="00306C67">
        <w:t xml:space="preserve"> (modification de l’article L. 561-47-1 du Code Monétaire et Financier).</w:t>
      </w:r>
    </w:p>
    <w:p w14:paraId="2B54212F" w14:textId="22B5D6CF" w:rsidR="00A16FE9" w:rsidRPr="00306C67" w:rsidRDefault="00A16FE9" w:rsidP="00306C67">
      <w:pPr>
        <w:jc w:val="both"/>
      </w:pPr>
      <w:r w:rsidRPr="00306C67">
        <w:t xml:space="preserve">Ces mesures doivent </w:t>
      </w:r>
      <w:r w:rsidR="002447E9" w:rsidRPr="00306C67">
        <w:t xml:space="preserve">être </w:t>
      </w:r>
      <w:r w:rsidR="0048285D" w:rsidRPr="00306C67">
        <w:t>à</w:t>
      </w:r>
      <w:r w:rsidR="002447E9" w:rsidRPr="00306C67">
        <w:t xml:space="preserve"> présent couplées à </w:t>
      </w:r>
      <w:r w:rsidR="00183CB1" w:rsidRPr="00306C67">
        <w:t>l’</w:t>
      </w:r>
      <w:r w:rsidR="002447E9" w:rsidRPr="00306C67">
        <w:t xml:space="preserve">ouverture </w:t>
      </w:r>
      <w:r w:rsidR="00AC4647" w:rsidRPr="00306C67">
        <w:t>concrète</w:t>
      </w:r>
      <w:r w:rsidR="002447E9" w:rsidRPr="00306C67">
        <w:t xml:space="preserve"> du registre sur le</w:t>
      </w:r>
      <w:r w:rsidR="00183CB1" w:rsidRPr="00306C67">
        <w:t xml:space="preserve">s bénéficiaires effectifs </w:t>
      </w:r>
      <w:r w:rsidR="002447E9" w:rsidRPr="00306C67">
        <w:t xml:space="preserve">afin de permettre </w:t>
      </w:r>
      <w:r w:rsidR="00183CB1" w:rsidRPr="00306C67">
        <w:t>à</w:t>
      </w:r>
      <w:r w:rsidR="002447E9" w:rsidRPr="00306C67">
        <w:t xml:space="preserve"> la société civile d’accéder ces informations et d’exercer son contrôle. </w:t>
      </w:r>
    </w:p>
    <w:p w14:paraId="7EF0C2A5" w14:textId="6ED106DC" w:rsidR="00C5522E" w:rsidRPr="00306C67" w:rsidRDefault="00C5522E" w:rsidP="00306C67">
      <w:pPr>
        <w:pStyle w:val="Paragraphedeliste"/>
        <w:numPr>
          <w:ilvl w:val="0"/>
          <w:numId w:val="3"/>
        </w:numPr>
        <w:jc w:val="both"/>
        <w:rPr>
          <w:rFonts w:cs="Arial"/>
          <w:b/>
          <w:bCs/>
          <w:color w:val="000000"/>
        </w:rPr>
      </w:pPr>
      <w:r w:rsidRPr="00306C67">
        <w:rPr>
          <w:rFonts w:cs="Arial"/>
          <w:b/>
          <w:bCs/>
          <w:color w:val="000000"/>
        </w:rPr>
        <w:t>La société civile</w:t>
      </w:r>
      <w:r w:rsidR="004468D5" w:rsidRPr="00306C67">
        <w:rPr>
          <w:rFonts w:cs="Arial"/>
          <w:b/>
          <w:bCs/>
          <w:color w:val="000000"/>
        </w:rPr>
        <w:t xml:space="preserve">, un acteur clé de la </w:t>
      </w:r>
      <w:r w:rsidRPr="00306C67">
        <w:rPr>
          <w:rFonts w:cs="Arial"/>
          <w:b/>
          <w:bCs/>
          <w:color w:val="000000"/>
        </w:rPr>
        <w:t>lutte anti-blanchiment :</w:t>
      </w:r>
    </w:p>
    <w:p w14:paraId="61B7E1DE" w14:textId="3C778564" w:rsidR="00F300AB" w:rsidRPr="00306C67" w:rsidRDefault="00795A6D" w:rsidP="00306C67">
      <w:pPr>
        <w:jc w:val="both"/>
      </w:pPr>
      <w:r w:rsidRPr="00306C67">
        <w:rPr>
          <w:rFonts w:cs="Arial"/>
          <w:color w:val="000000"/>
        </w:rPr>
        <w:t xml:space="preserve">Sans la société civile, </w:t>
      </w:r>
      <w:r w:rsidR="006E2A46" w:rsidRPr="006E2A46">
        <w:rPr>
          <w:rFonts w:cs="Arial"/>
          <w:color w:val="000000"/>
        </w:rPr>
        <w:t xml:space="preserve">notamment la presse </w:t>
      </w:r>
      <w:r w:rsidR="006E2A46">
        <w:rPr>
          <w:rFonts w:cs="Arial"/>
          <w:color w:val="000000"/>
        </w:rPr>
        <w:t>et</w:t>
      </w:r>
      <w:r w:rsidR="006E2A46" w:rsidRPr="006E2A46">
        <w:rPr>
          <w:rFonts w:cs="Arial"/>
          <w:color w:val="000000"/>
        </w:rPr>
        <w:t xml:space="preserve"> les organisations de la société civile</w:t>
      </w:r>
      <w:r w:rsidR="006E2A46">
        <w:rPr>
          <w:rFonts w:cs="Arial"/>
          <w:color w:val="000000"/>
        </w:rPr>
        <w:t xml:space="preserve">, </w:t>
      </w:r>
      <w:r w:rsidRPr="00306C67">
        <w:rPr>
          <w:rFonts w:cs="Arial"/>
          <w:color w:val="000000"/>
        </w:rPr>
        <w:t>les plus grands scandales de blanchiment d’argent de ces dix dernières années</w:t>
      </w:r>
      <w:r w:rsidR="00371412" w:rsidRPr="00306C67">
        <w:rPr>
          <w:rFonts w:cs="Arial"/>
          <w:color w:val="000000"/>
        </w:rPr>
        <w:t>, tels que celui des « </w:t>
      </w:r>
      <w:r w:rsidR="00371412" w:rsidRPr="00306C67">
        <w:rPr>
          <w:rFonts w:cs="Arial"/>
          <w:i/>
          <w:iCs/>
          <w:color w:val="000000"/>
        </w:rPr>
        <w:t>Panama Papers</w:t>
      </w:r>
      <w:r w:rsidR="00371412" w:rsidRPr="00306C67">
        <w:rPr>
          <w:rFonts w:cs="Arial"/>
          <w:color w:val="000000"/>
        </w:rPr>
        <w:t> » ou plus récemment des « </w:t>
      </w:r>
      <w:r w:rsidR="00371412" w:rsidRPr="00306C67">
        <w:rPr>
          <w:rFonts w:cs="Arial"/>
          <w:i/>
          <w:iCs/>
          <w:color w:val="000000"/>
        </w:rPr>
        <w:t>Luanda Leaks</w:t>
      </w:r>
      <w:r w:rsidR="004468D5" w:rsidRPr="00306C67">
        <w:rPr>
          <w:rStyle w:val="Appelnotedebasdep"/>
          <w:rFonts w:cs="Arial"/>
          <w:color w:val="000000"/>
        </w:rPr>
        <w:footnoteReference w:id="17"/>
      </w:r>
      <w:r w:rsidR="00371412" w:rsidRPr="00306C67">
        <w:rPr>
          <w:rFonts w:cs="Arial"/>
          <w:color w:val="000000"/>
        </w:rPr>
        <w:t>»</w:t>
      </w:r>
      <w:r w:rsidR="00530E87" w:rsidRPr="00306C67">
        <w:rPr>
          <w:rFonts w:cs="Arial"/>
          <w:color w:val="000000"/>
        </w:rPr>
        <w:t>,</w:t>
      </w:r>
      <w:r w:rsidR="00371412" w:rsidRPr="00306C67">
        <w:rPr>
          <w:rFonts w:cs="Arial"/>
          <w:color w:val="000000"/>
        </w:rPr>
        <w:t xml:space="preserve"> </w:t>
      </w:r>
      <w:r w:rsidRPr="00306C67">
        <w:rPr>
          <w:rFonts w:cs="Arial"/>
          <w:color w:val="000000"/>
        </w:rPr>
        <w:t>n’auraient sans doute jamais été révélés.</w:t>
      </w:r>
      <w:r w:rsidR="00597067" w:rsidRPr="00306C67">
        <w:t xml:space="preserve"> </w:t>
      </w:r>
    </w:p>
    <w:p w14:paraId="272DF8A8" w14:textId="4CC9C8FB" w:rsidR="00795A6D" w:rsidRPr="00306C67" w:rsidRDefault="00196554" w:rsidP="00306C67">
      <w:pPr>
        <w:jc w:val="both"/>
      </w:pPr>
      <w:r w:rsidRPr="00306C67">
        <w:t>La</w:t>
      </w:r>
      <w:r w:rsidR="00DA18AA" w:rsidRPr="00306C67">
        <w:t xml:space="preserve"> société civile peut également jouer un rôle préventif. </w:t>
      </w:r>
      <w:r w:rsidR="00795A6D" w:rsidRPr="00306C67">
        <w:t xml:space="preserve">Ouvrir au public les registres contenant </w:t>
      </w:r>
      <w:r w:rsidR="00C10057" w:rsidRPr="00306C67">
        <w:t xml:space="preserve">les </w:t>
      </w:r>
      <w:r w:rsidR="00795A6D" w:rsidRPr="00306C67">
        <w:t>informations</w:t>
      </w:r>
      <w:r w:rsidR="00C10057" w:rsidRPr="00306C67">
        <w:t xml:space="preserve"> sur les bénéficiaires effectifs</w:t>
      </w:r>
      <w:r w:rsidR="00795A6D" w:rsidRPr="00306C67">
        <w:t xml:space="preserve"> permet à la société civile </w:t>
      </w:r>
      <w:r w:rsidR="00AF4F0D" w:rsidRPr="00306C67">
        <w:t>de contrôler ces informations et d’identifier d’éventuelles défaillances</w:t>
      </w:r>
      <w:r w:rsidR="00795A6D" w:rsidRPr="00306C67">
        <w:t xml:space="preserve">. </w:t>
      </w:r>
    </w:p>
    <w:p w14:paraId="0C77AE24" w14:textId="45030A0D" w:rsidR="004E346C" w:rsidRPr="00306C67" w:rsidRDefault="00592EFC" w:rsidP="00306C67">
      <w:pPr>
        <w:jc w:val="both"/>
      </w:pPr>
      <w:r w:rsidRPr="00306C67">
        <w:t>En 2019</w:t>
      </w:r>
      <w:r w:rsidR="004D1EBE" w:rsidRPr="00306C67">
        <w:t>,</w:t>
      </w:r>
      <w:r w:rsidRPr="00306C67">
        <w:t xml:space="preserve"> par exemple, l’</w:t>
      </w:r>
      <w:r w:rsidR="008A15B5" w:rsidRPr="00306C67">
        <w:rPr>
          <w:rFonts w:cs="Arial"/>
          <w:shd w:val="clear" w:color="auto" w:fill="FFFFFF"/>
        </w:rPr>
        <w:t>organisation non gouvernementale (« </w:t>
      </w:r>
      <w:r w:rsidR="00795A6D" w:rsidRPr="00306C67">
        <w:rPr>
          <w:rFonts w:cs="Arial"/>
          <w:shd w:val="clear" w:color="auto" w:fill="FFFFFF"/>
        </w:rPr>
        <w:t>ONG</w:t>
      </w:r>
      <w:r w:rsidR="008A15B5" w:rsidRPr="00306C67">
        <w:rPr>
          <w:rFonts w:cs="Arial"/>
          <w:shd w:val="clear" w:color="auto" w:fill="FFFFFF"/>
        </w:rPr>
        <w:t> »)</w:t>
      </w:r>
      <w:r w:rsidR="00795A6D" w:rsidRPr="00306C67">
        <w:rPr>
          <w:rFonts w:cs="Arial"/>
          <w:shd w:val="clear" w:color="auto" w:fill="FFFFFF"/>
        </w:rPr>
        <w:t xml:space="preserve"> </w:t>
      </w:r>
      <w:r w:rsidR="00795A6D" w:rsidRPr="00306C67">
        <w:rPr>
          <w:rFonts w:cs="Arial"/>
          <w:i/>
          <w:iCs/>
          <w:shd w:val="clear" w:color="auto" w:fill="FFFFFF"/>
        </w:rPr>
        <w:t>Global Witness</w:t>
      </w:r>
      <w:r w:rsidR="000F5C1C" w:rsidRPr="00306C67">
        <w:rPr>
          <w:rFonts w:cs="Arial"/>
          <w:i/>
          <w:iCs/>
          <w:shd w:val="clear" w:color="auto" w:fill="FFFFFF"/>
        </w:rPr>
        <w:t xml:space="preserve"> </w:t>
      </w:r>
      <w:r w:rsidR="000F5C1C" w:rsidRPr="00306C67">
        <w:rPr>
          <w:rFonts w:cs="Arial"/>
          <w:shd w:val="clear" w:color="auto" w:fill="FFFFFF"/>
        </w:rPr>
        <w:t>a</w:t>
      </w:r>
      <w:r w:rsidR="004D1EBE" w:rsidRPr="00306C67">
        <w:rPr>
          <w:rFonts w:cs="Arial"/>
          <w:shd w:val="clear" w:color="auto" w:fill="FFFFFF"/>
        </w:rPr>
        <w:t xml:space="preserve"> </w:t>
      </w:r>
      <w:r w:rsidR="00193606" w:rsidRPr="00306C67">
        <w:rPr>
          <w:rFonts w:cs="Arial"/>
          <w:shd w:val="clear" w:color="auto" w:fill="FFFFFF"/>
        </w:rPr>
        <w:t xml:space="preserve">analysé de manière poussée les </w:t>
      </w:r>
      <w:r w:rsidR="00795A6D" w:rsidRPr="00306C67">
        <w:rPr>
          <w:rFonts w:cs="Arial"/>
          <w:shd w:val="clear" w:color="auto" w:fill="FFFFFF"/>
        </w:rPr>
        <w:t>données ouvertes du registre britannique sur les bénéficiaires effectifs</w:t>
      </w:r>
      <w:r w:rsidR="00057166">
        <w:rPr>
          <w:rFonts w:cs="Arial"/>
          <w:shd w:val="clear" w:color="auto" w:fill="FFFFFF"/>
        </w:rPr>
        <w:t xml:space="preserve">. Ce faisant, l’ONG a pu révéler </w:t>
      </w:r>
      <w:r w:rsidR="00795A6D" w:rsidRPr="00306C67">
        <w:rPr>
          <w:rFonts w:cs="Arial"/>
          <w:shd w:val="clear" w:color="auto" w:fill="FFFFFF"/>
        </w:rPr>
        <w:t xml:space="preserve">les nombreuses lacunes </w:t>
      </w:r>
      <w:r w:rsidR="00795A6D" w:rsidRPr="00306C67">
        <w:t>de ce registre tenant à la défaillance du contrôle des autorités britanniques sur les données transmises par les entreprises sur leurs bénéficiaires effectifs</w:t>
      </w:r>
      <w:r w:rsidR="00795A6D" w:rsidRPr="00306C67">
        <w:rPr>
          <w:rStyle w:val="Appelnotedebasdep"/>
        </w:rPr>
        <w:footnoteReference w:id="18"/>
      </w:r>
      <w:r w:rsidR="00795A6D" w:rsidRPr="00306C67">
        <w:t>.</w:t>
      </w:r>
      <w:r w:rsidR="006B0CD7" w:rsidRPr="00306C67">
        <w:t xml:space="preserve"> </w:t>
      </w:r>
      <w:r w:rsidR="00795A6D" w:rsidRPr="00306C67">
        <w:t>C’est parce</w:t>
      </w:r>
      <w:r w:rsidR="00DD6A62" w:rsidRPr="00306C67">
        <w:t xml:space="preserve"> que</w:t>
      </w:r>
      <w:r w:rsidR="00795A6D" w:rsidRPr="00306C67">
        <w:t xml:space="preserve"> le Royaume Uni a ouvert au public les données de son registre sur les bénéficiaires effectifs que l’ONG </w:t>
      </w:r>
      <w:r w:rsidR="00DD6A62" w:rsidRPr="00306C67">
        <w:t xml:space="preserve">a pu </w:t>
      </w:r>
      <w:r w:rsidR="00795A6D" w:rsidRPr="00306C67">
        <w:t xml:space="preserve">signaler ces défaillances. </w:t>
      </w:r>
      <w:r w:rsidR="00200B08" w:rsidRPr="00306C67">
        <w:t>Dans</w:t>
      </w:r>
      <w:r w:rsidR="00795A6D" w:rsidRPr="00306C67">
        <w:t xml:space="preserve"> les autres pays, </w:t>
      </w:r>
      <w:r w:rsidR="00D5279F">
        <w:t>c</w:t>
      </w:r>
      <w:r w:rsidR="00795A6D" w:rsidRPr="00306C67">
        <w:t>es registres</w:t>
      </w:r>
      <w:r w:rsidR="002034DD" w:rsidRPr="00306C67">
        <w:t xml:space="preserve">, lorsqu’ils existent, </w:t>
      </w:r>
      <w:r w:rsidR="00795A6D" w:rsidRPr="00306C67">
        <w:t>sont tout autant susceptibles de présenter de telles lacunes. Le fait qu’ils ne soient pas ouverts au public empêche tout simplement la société civile d’analyser et contrôler ces informations.</w:t>
      </w:r>
      <w:r w:rsidR="005F695F" w:rsidRPr="00306C67">
        <w:rPr>
          <w:rFonts w:cs="Arial"/>
          <w:color w:val="000000"/>
        </w:rPr>
        <w:t xml:space="preserve"> En mars 2020, </w:t>
      </w:r>
      <w:r w:rsidR="005F695F" w:rsidRPr="00306C67">
        <w:t>au sein de l’Union européenne, sur les 27 Etats Membres, seuls 5 ont un registre sur les bénéficiaires effectifs centralisé et ouvert au public</w:t>
      </w:r>
      <w:r w:rsidR="005F695F" w:rsidRPr="00306C67">
        <w:rPr>
          <w:rStyle w:val="Appelnotedebasdep"/>
        </w:rPr>
        <w:footnoteReference w:id="19"/>
      </w:r>
      <w:r w:rsidR="005F695F" w:rsidRPr="00306C67">
        <w:t>.</w:t>
      </w:r>
    </w:p>
    <w:p w14:paraId="2E7F2A66" w14:textId="2DE4FE78" w:rsidR="004B1624" w:rsidRPr="00306C67" w:rsidRDefault="001A7B64" w:rsidP="00306C67">
      <w:pPr>
        <w:jc w:val="both"/>
      </w:pPr>
      <w:r w:rsidRPr="00306C67">
        <w:lastRenderedPageBreak/>
        <w:t>L</w:t>
      </w:r>
      <w:r w:rsidR="00A35C93" w:rsidRPr="00306C67">
        <w:t>a</w:t>
      </w:r>
      <w:r w:rsidR="00DC208C" w:rsidRPr="00306C67">
        <w:t xml:space="preserve"> France fait malheureusement partie des 22 </w:t>
      </w:r>
      <w:r w:rsidR="00A35C93" w:rsidRPr="00306C67">
        <w:t xml:space="preserve">Etats Membres n’ayant pas encore ouvert au public </w:t>
      </w:r>
      <w:r w:rsidR="00D5279F">
        <w:t>son</w:t>
      </w:r>
      <w:r w:rsidR="00D5279F" w:rsidRPr="00306C67">
        <w:t xml:space="preserve"> </w:t>
      </w:r>
      <w:r w:rsidR="00A35C93" w:rsidRPr="00306C67">
        <w:t xml:space="preserve">registre. </w:t>
      </w:r>
      <w:r w:rsidR="004B1624" w:rsidRPr="00306C67">
        <w:t>Bien qu’une ouverture prochaine soit prévue par les textes de transposition</w:t>
      </w:r>
      <w:r w:rsidR="004B1624" w:rsidRPr="00306C67">
        <w:rPr>
          <w:rStyle w:val="Appelnotedebasdep"/>
        </w:rPr>
        <w:footnoteReference w:id="20"/>
      </w:r>
      <w:r w:rsidR="004B1624" w:rsidRPr="00306C67">
        <w:t xml:space="preserve">, force est néanmoins de constater que, près de trois mois après la date limite de transposition </w:t>
      </w:r>
      <w:r w:rsidR="00CB047A" w:rsidRPr="00306C67">
        <w:t>de la directive</w:t>
      </w:r>
      <w:r w:rsidR="004B1624" w:rsidRPr="00306C67">
        <w:t>, le registre français sur les bénéficiaires effectifs n’est toujours pas accessible au public</w:t>
      </w:r>
      <w:r w:rsidR="004D31FF" w:rsidRPr="00306C67">
        <w:rPr>
          <w:rStyle w:val="Appelnotedebasdep"/>
        </w:rPr>
        <w:footnoteReference w:id="21"/>
      </w:r>
      <w:r w:rsidR="004B1624" w:rsidRPr="00306C67">
        <w:t>.</w:t>
      </w:r>
    </w:p>
    <w:p w14:paraId="2A4664ED" w14:textId="20A56100" w:rsidR="00057166" w:rsidRDefault="00CB047A" w:rsidP="00306C67">
      <w:pPr>
        <w:jc w:val="both"/>
      </w:pPr>
      <w:r w:rsidRPr="00306C67">
        <w:t>S’il est d’ores et déjà prévu que l’accès à ces informations sera gratuit</w:t>
      </w:r>
      <w:r w:rsidRPr="00306C67">
        <w:rPr>
          <w:rStyle w:val="Appelnotedebasdep"/>
        </w:rPr>
        <w:footnoteReference w:id="22"/>
      </w:r>
      <w:r w:rsidRPr="00306C67">
        <w:t>, ce dont il faut se féliciter, les textes de transposition de la 5</w:t>
      </w:r>
      <w:r w:rsidRPr="00306C67">
        <w:rPr>
          <w:vertAlign w:val="superscript"/>
        </w:rPr>
        <w:t>ème</w:t>
      </w:r>
      <w:r w:rsidRPr="00306C67">
        <w:t xml:space="preserve"> directive demeurent silencieux sur les autres modalités de consultation du registre. A l’instar des modalités d’accès mise</w:t>
      </w:r>
      <w:r w:rsidR="00D5279F">
        <w:t>s</w:t>
      </w:r>
      <w:r w:rsidRPr="00306C67">
        <w:t xml:space="preserve"> en place par la Bulgarie, le Danemark, la Lettonie, le Luxembourg et la Slovénie</w:t>
      </w:r>
      <w:r w:rsidRPr="00306C67">
        <w:rPr>
          <w:rStyle w:val="Appelnotedebasdep"/>
        </w:rPr>
        <w:footnoteReference w:id="23"/>
      </w:r>
      <w:r w:rsidRPr="00306C67">
        <w:t xml:space="preserve">, les informations sur les bénéficiaires effectifs </w:t>
      </w:r>
      <w:r w:rsidR="001D1594" w:rsidRPr="00306C67">
        <w:t>devraient</w:t>
      </w:r>
      <w:r w:rsidRPr="00306C67">
        <w:t xml:space="preserve"> être disponibles en format ouvert, c’est-à-dire téléchargeables </w:t>
      </w:r>
      <w:r w:rsidR="00D5279F">
        <w:t xml:space="preserve">librement </w:t>
      </w:r>
      <w:r w:rsidRPr="00306C67">
        <w:t>sous format informatisé, sans que leur accès ne soit conditionné à une inscription préalable.</w:t>
      </w:r>
      <w:r w:rsidR="00A64BA4" w:rsidRPr="00306C67">
        <w:t xml:space="preserve"> </w:t>
      </w:r>
    </w:p>
    <w:p w14:paraId="7B58315A" w14:textId="678667BB" w:rsidR="00C7641D" w:rsidRPr="00306C67" w:rsidRDefault="002002DF" w:rsidP="00306C67">
      <w:pPr>
        <w:jc w:val="both"/>
      </w:pPr>
      <w:r w:rsidRPr="00306C67">
        <w:t>La capacité de la société civile à contrôler les informations contenues dans ce registre</w:t>
      </w:r>
      <w:r w:rsidR="003C781B" w:rsidRPr="00306C67">
        <w:t xml:space="preserve"> et à les croiser avec d’autres</w:t>
      </w:r>
      <w:r w:rsidR="006D2488" w:rsidRPr="00306C67">
        <w:t xml:space="preserve"> sources</w:t>
      </w:r>
      <w:r w:rsidR="003C781B" w:rsidRPr="00306C67">
        <w:t>, telles</w:t>
      </w:r>
      <w:r w:rsidR="006D2488" w:rsidRPr="00306C67">
        <w:t xml:space="preserve"> que la base de </w:t>
      </w:r>
      <w:r w:rsidR="00A576B7" w:rsidRPr="00306C67">
        <w:t>données</w:t>
      </w:r>
      <w:r w:rsidR="006D2488" w:rsidRPr="00306C67">
        <w:t xml:space="preserve"> Integrity Watch France </w:t>
      </w:r>
      <w:r w:rsidR="00777D8C" w:rsidRPr="00306C67">
        <w:t>mise en place par l’ONG Transparency International France</w:t>
      </w:r>
      <w:r w:rsidR="007A34F4">
        <w:rPr>
          <w:rStyle w:val="Appelnotedebasdep"/>
        </w:rPr>
        <w:footnoteReference w:id="24"/>
      </w:r>
      <w:r w:rsidR="00777D8C" w:rsidRPr="00306C67">
        <w:t xml:space="preserve">, </w:t>
      </w:r>
      <w:r w:rsidRPr="00306C67">
        <w:t>dépend directement de ces modalités de consultation.</w:t>
      </w:r>
    </w:p>
    <w:p w14:paraId="3AF137B3" w14:textId="646E600D" w:rsidR="00B245FF" w:rsidRPr="00306C67" w:rsidRDefault="00B245FF" w:rsidP="00306C67">
      <w:pPr>
        <w:jc w:val="both"/>
        <w:rPr>
          <w:rFonts w:cs="Arial"/>
          <w:color w:val="000000"/>
        </w:rPr>
      </w:pPr>
    </w:p>
    <w:sectPr w:rsidR="00B245FF" w:rsidRPr="00306C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09112" w14:textId="77777777" w:rsidR="009E248A" w:rsidRDefault="009E248A" w:rsidP="00CE2D12">
      <w:pPr>
        <w:spacing w:after="0" w:line="240" w:lineRule="auto"/>
      </w:pPr>
      <w:r>
        <w:separator/>
      </w:r>
    </w:p>
  </w:endnote>
  <w:endnote w:type="continuationSeparator" w:id="0">
    <w:p w14:paraId="78DD3229" w14:textId="77777777" w:rsidR="009E248A" w:rsidRDefault="009E248A" w:rsidP="00CE2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7F37F" w14:textId="77777777" w:rsidR="009E248A" w:rsidRDefault="009E248A" w:rsidP="00CE2D12">
      <w:pPr>
        <w:spacing w:after="0" w:line="240" w:lineRule="auto"/>
      </w:pPr>
      <w:r>
        <w:separator/>
      </w:r>
    </w:p>
  </w:footnote>
  <w:footnote w:type="continuationSeparator" w:id="0">
    <w:p w14:paraId="54B7D273" w14:textId="77777777" w:rsidR="009E248A" w:rsidRDefault="009E248A" w:rsidP="00CE2D12">
      <w:pPr>
        <w:spacing w:after="0" w:line="240" w:lineRule="auto"/>
      </w:pPr>
      <w:r>
        <w:continuationSeparator/>
      </w:r>
    </w:p>
  </w:footnote>
  <w:footnote w:id="1">
    <w:p w14:paraId="23404CC5" w14:textId="462C34D7" w:rsidR="005A6898" w:rsidRPr="00306C67" w:rsidRDefault="005A6898" w:rsidP="00306C67">
      <w:pPr>
        <w:shd w:val="clear" w:color="auto" w:fill="FFFFFF"/>
        <w:spacing w:after="0"/>
        <w:jc w:val="both"/>
        <w:rPr>
          <w:rFonts w:ascii="Arial" w:hAnsi="Arial" w:cs="Arial"/>
          <w:color w:val="000000"/>
          <w:sz w:val="18"/>
          <w:szCs w:val="18"/>
        </w:rPr>
      </w:pPr>
      <w:r w:rsidRPr="00306C67">
        <w:rPr>
          <w:rStyle w:val="Appelnotedebasdep"/>
          <w:sz w:val="18"/>
          <w:szCs w:val="18"/>
        </w:rPr>
        <w:footnoteRef/>
      </w:r>
      <w:r w:rsidRPr="00306C67">
        <w:rPr>
          <w:sz w:val="18"/>
          <w:szCs w:val="18"/>
        </w:rPr>
        <w:t xml:space="preserve"> L’article </w:t>
      </w:r>
      <w:hyperlink r:id="rId1" w:history="1">
        <w:r w:rsidRPr="00306C67">
          <w:rPr>
            <w:rStyle w:val="Lienhypertexte"/>
            <w:sz w:val="18"/>
            <w:szCs w:val="18"/>
          </w:rPr>
          <w:t>L. 561-2-2</w:t>
        </w:r>
      </w:hyperlink>
      <w:r w:rsidRPr="00306C67">
        <w:rPr>
          <w:sz w:val="18"/>
          <w:szCs w:val="18"/>
        </w:rPr>
        <w:t xml:space="preserve"> du Code Monétaire et Financier </w:t>
      </w:r>
      <w:r w:rsidRPr="00306C67">
        <w:rPr>
          <w:rFonts w:cs="Arial"/>
          <w:color w:val="000000"/>
          <w:sz w:val="18"/>
          <w:szCs w:val="18"/>
        </w:rPr>
        <w:t>défini</w:t>
      </w:r>
      <w:r w:rsidR="005E7B63">
        <w:rPr>
          <w:rFonts w:cs="Arial"/>
          <w:color w:val="000000"/>
          <w:sz w:val="18"/>
          <w:szCs w:val="18"/>
        </w:rPr>
        <w:t>t</w:t>
      </w:r>
      <w:r w:rsidRPr="00306C67">
        <w:rPr>
          <w:rFonts w:cs="Arial"/>
          <w:color w:val="000000"/>
          <w:sz w:val="18"/>
          <w:szCs w:val="18"/>
        </w:rPr>
        <w:t xml:space="preserve"> le bénéficiaire effectif comme étant la ou les personnes physiques qui « contrôlent en dernier lieu, directement ou indirectement, le client » ou « pour laquelle une opération est exécutée ou une activité exercée ».</w:t>
      </w:r>
      <w:r w:rsidRPr="00306C67">
        <w:rPr>
          <w:rFonts w:ascii="Arial" w:hAnsi="Arial" w:cs="Arial"/>
          <w:color w:val="000000"/>
          <w:sz w:val="18"/>
          <w:szCs w:val="18"/>
        </w:rPr>
        <w:t xml:space="preserve"> </w:t>
      </w:r>
    </w:p>
  </w:footnote>
  <w:footnote w:id="2">
    <w:p w14:paraId="6C137DE4" w14:textId="681BEA8F" w:rsidR="008412D3" w:rsidRPr="00306C67" w:rsidRDefault="008412D3" w:rsidP="00306C67">
      <w:pPr>
        <w:pStyle w:val="Notedebasdepage"/>
        <w:jc w:val="both"/>
        <w:rPr>
          <w:sz w:val="18"/>
          <w:szCs w:val="18"/>
        </w:rPr>
      </w:pPr>
      <w:r w:rsidRPr="00306C67">
        <w:rPr>
          <w:rStyle w:val="Appelnotedebasdep"/>
          <w:sz w:val="18"/>
          <w:szCs w:val="18"/>
        </w:rPr>
        <w:footnoteRef/>
      </w:r>
      <w:r w:rsidRPr="00306C67">
        <w:rPr>
          <w:sz w:val="18"/>
          <w:szCs w:val="18"/>
        </w:rPr>
        <w:t xml:space="preserve"> </w:t>
      </w:r>
      <w:r w:rsidR="00D20524" w:rsidRPr="00306C67">
        <w:rPr>
          <w:sz w:val="18"/>
          <w:szCs w:val="18"/>
        </w:rPr>
        <w:t>Article</w:t>
      </w:r>
      <w:r w:rsidR="009520E3">
        <w:rPr>
          <w:sz w:val="18"/>
          <w:szCs w:val="18"/>
        </w:rPr>
        <w:t>s</w:t>
      </w:r>
      <w:r w:rsidR="00D20524" w:rsidRPr="00306C67">
        <w:rPr>
          <w:sz w:val="18"/>
          <w:szCs w:val="18"/>
        </w:rPr>
        <w:t xml:space="preserve"> 30 </w:t>
      </w:r>
      <w:r w:rsidR="009520E3">
        <w:rPr>
          <w:sz w:val="18"/>
          <w:szCs w:val="18"/>
        </w:rPr>
        <w:t xml:space="preserve"> et 31 </w:t>
      </w:r>
      <w:r w:rsidR="00D20524" w:rsidRPr="00306C67">
        <w:rPr>
          <w:sz w:val="18"/>
          <w:szCs w:val="18"/>
        </w:rPr>
        <w:t xml:space="preserve">de la </w:t>
      </w:r>
      <w:hyperlink r:id="rId2" w:history="1">
        <w:r w:rsidR="00256B92" w:rsidRPr="00306C67">
          <w:rPr>
            <w:rStyle w:val="Lienhypertexte"/>
            <w:sz w:val="18"/>
            <w:szCs w:val="18"/>
          </w:rPr>
          <w:t>Directive (UE) 2015/849</w:t>
        </w:r>
      </w:hyperlink>
      <w:r w:rsidR="00256B92" w:rsidRPr="00306C67">
        <w:rPr>
          <w:sz w:val="18"/>
          <w:szCs w:val="18"/>
        </w:rPr>
        <w:t xml:space="preserve"> du Parlement Européen et du Conseil du 20 Mai 2015 relative à la prévention de l'utilisation du système financier aux fins du blanchiment de capitaux ou du financement du terrorisme</w:t>
      </w:r>
    </w:p>
  </w:footnote>
  <w:footnote w:id="3">
    <w:p w14:paraId="4A3D80A4" w14:textId="4B3BF0D3" w:rsidR="00B957CD" w:rsidRPr="00306C67" w:rsidRDefault="00B957CD" w:rsidP="00306C67">
      <w:pPr>
        <w:pStyle w:val="Notedebasdepage"/>
        <w:jc w:val="both"/>
        <w:rPr>
          <w:sz w:val="18"/>
          <w:szCs w:val="18"/>
        </w:rPr>
      </w:pPr>
      <w:r w:rsidRPr="00306C67">
        <w:rPr>
          <w:rStyle w:val="Appelnotedebasdep"/>
          <w:sz w:val="18"/>
          <w:szCs w:val="18"/>
        </w:rPr>
        <w:footnoteRef/>
      </w:r>
      <w:r w:rsidRPr="00306C67">
        <w:rPr>
          <w:sz w:val="18"/>
          <w:szCs w:val="18"/>
        </w:rPr>
        <w:t xml:space="preserve"> </w:t>
      </w:r>
      <w:r w:rsidR="00CF3E57" w:rsidRPr="00306C67">
        <w:rPr>
          <w:sz w:val="18"/>
          <w:szCs w:val="18"/>
        </w:rPr>
        <w:t>GAFI (2012-2018), Recommandations du GAFI – Normes internationales sur la lutte contre le blanchiment de capitaux et le financement du terrorisme et de la prolifération mises à jour octobre 2018 – Note interprétative de la recommandation 24</w:t>
      </w:r>
    </w:p>
  </w:footnote>
  <w:footnote w:id="4">
    <w:p w14:paraId="1C19DE77" w14:textId="34E83E5B" w:rsidR="00B50B83" w:rsidRPr="00306C67" w:rsidRDefault="00B50B83" w:rsidP="00306C67">
      <w:pPr>
        <w:pStyle w:val="Notedebasdepage"/>
        <w:jc w:val="both"/>
        <w:rPr>
          <w:sz w:val="18"/>
          <w:szCs w:val="18"/>
        </w:rPr>
      </w:pPr>
      <w:r w:rsidRPr="00306C67">
        <w:rPr>
          <w:rStyle w:val="Appelnotedebasdep"/>
          <w:sz w:val="18"/>
          <w:szCs w:val="18"/>
        </w:rPr>
        <w:footnoteRef/>
      </w:r>
      <w:r w:rsidRPr="00306C67">
        <w:rPr>
          <w:sz w:val="18"/>
          <w:szCs w:val="18"/>
        </w:rPr>
        <w:t xml:space="preserve"> Directive (UE) 2018/843 du Parlement européen et du Conseil du 30 mai 2018, Préambule, paragraphe </w:t>
      </w:r>
      <w:r w:rsidR="007B1931" w:rsidRPr="00306C67">
        <w:rPr>
          <w:sz w:val="18"/>
          <w:szCs w:val="18"/>
        </w:rPr>
        <w:t>4</w:t>
      </w:r>
      <w:r w:rsidRPr="00306C67">
        <w:rPr>
          <w:sz w:val="18"/>
          <w:szCs w:val="18"/>
        </w:rPr>
        <w:t> : « L’amélioration de la transparence pourrait être un puissant moyen de dissuasion. »</w:t>
      </w:r>
    </w:p>
  </w:footnote>
  <w:footnote w:id="5">
    <w:p w14:paraId="277840FE" w14:textId="77777777" w:rsidR="00B50B83" w:rsidRPr="00306C67" w:rsidRDefault="00B50B83" w:rsidP="00306C67">
      <w:pPr>
        <w:pStyle w:val="Notedebasdepage"/>
        <w:jc w:val="both"/>
        <w:rPr>
          <w:sz w:val="18"/>
          <w:szCs w:val="18"/>
        </w:rPr>
      </w:pPr>
      <w:r w:rsidRPr="00306C67">
        <w:rPr>
          <w:rStyle w:val="Appelnotedebasdep"/>
          <w:sz w:val="18"/>
          <w:szCs w:val="18"/>
        </w:rPr>
        <w:footnoteRef/>
      </w:r>
      <w:r w:rsidRPr="00306C67">
        <w:rPr>
          <w:sz w:val="18"/>
          <w:szCs w:val="18"/>
        </w:rPr>
        <w:t xml:space="preserve"> Directive (UE) 2018/843 du Parlement européen et du Conseil du 30 mai 2018, Préambule, paragraphe 30 : « L’accès du public aux informations sur les bénéficiaires effectifs permet un contrôle accru des informations par la société civile, notamment la presse ou les organisations de la société civile, et contribue à préserver la confiance dans l’intégrité des transactions commerciales et du système financier. »</w:t>
      </w:r>
    </w:p>
  </w:footnote>
  <w:footnote w:id="6">
    <w:p w14:paraId="69E594B1" w14:textId="77777777" w:rsidR="00AD71A5" w:rsidRPr="00306C67" w:rsidRDefault="00AD71A5" w:rsidP="00306C67">
      <w:pPr>
        <w:pStyle w:val="Notedebasdepage"/>
        <w:jc w:val="both"/>
        <w:rPr>
          <w:sz w:val="18"/>
          <w:szCs w:val="18"/>
        </w:rPr>
      </w:pPr>
      <w:r w:rsidRPr="00306C67">
        <w:rPr>
          <w:rStyle w:val="Appelnotedebasdep"/>
          <w:sz w:val="18"/>
          <w:szCs w:val="18"/>
        </w:rPr>
        <w:footnoteRef/>
      </w:r>
      <w:r w:rsidRPr="00306C67">
        <w:rPr>
          <w:sz w:val="18"/>
          <w:szCs w:val="18"/>
        </w:rPr>
        <w:t xml:space="preserve"> Modification de l’article 30 de la Directive (UE) 2015/849 par la </w:t>
      </w:r>
      <w:hyperlink r:id="rId3" w:history="1">
        <w:r w:rsidRPr="00306C67">
          <w:rPr>
            <w:rStyle w:val="Lienhypertexte"/>
            <w:sz w:val="18"/>
            <w:szCs w:val="18"/>
          </w:rPr>
          <w:t>Directive (UE) 2018/843</w:t>
        </w:r>
      </w:hyperlink>
      <w:r w:rsidRPr="00306C67">
        <w:rPr>
          <w:sz w:val="18"/>
          <w:szCs w:val="18"/>
        </w:rPr>
        <w:t xml:space="preserve"> du Parlement Européen et du Conseil du 30 mai 2018 </w:t>
      </w:r>
    </w:p>
  </w:footnote>
  <w:footnote w:id="7">
    <w:p w14:paraId="10BAD9E4" w14:textId="6A5C236F" w:rsidR="007A4865" w:rsidRPr="00306C67" w:rsidRDefault="007A4865" w:rsidP="00306C67">
      <w:pPr>
        <w:pStyle w:val="Notedebasdepage"/>
        <w:jc w:val="both"/>
        <w:rPr>
          <w:sz w:val="18"/>
          <w:szCs w:val="18"/>
          <w:highlight w:val="yellow"/>
        </w:rPr>
      </w:pPr>
      <w:r w:rsidRPr="00306C67">
        <w:rPr>
          <w:rStyle w:val="Appelnotedebasdep"/>
          <w:sz w:val="18"/>
          <w:szCs w:val="18"/>
        </w:rPr>
        <w:footnoteRef/>
      </w:r>
      <w:r w:rsidRPr="00306C67">
        <w:rPr>
          <w:sz w:val="18"/>
          <w:szCs w:val="18"/>
        </w:rPr>
        <w:t xml:space="preserve"> </w:t>
      </w:r>
      <w:r w:rsidR="005E7B63">
        <w:rPr>
          <w:sz w:val="18"/>
          <w:szCs w:val="18"/>
        </w:rPr>
        <w:t xml:space="preserve">Article 30.4 </w:t>
      </w:r>
      <w:r w:rsidRPr="00306C67">
        <w:rPr>
          <w:sz w:val="18"/>
          <w:szCs w:val="18"/>
        </w:rPr>
        <w:t xml:space="preserve">de la Directive (UE) 2015/849 par la </w:t>
      </w:r>
      <w:hyperlink r:id="rId4" w:history="1">
        <w:r w:rsidRPr="00306C67">
          <w:rPr>
            <w:rStyle w:val="Lienhypertexte"/>
            <w:sz w:val="18"/>
            <w:szCs w:val="18"/>
          </w:rPr>
          <w:t>Directive (UE) 2018/843</w:t>
        </w:r>
      </w:hyperlink>
      <w:r w:rsidRPr="00306C67">
        <w:rPr>
          <w:sz w:val="18"/>
          <w:szCs w:val="18"/>
        </w:rPr>
        <w:t xml:space="preserve"> du Parlement Européen et du Conseil du 30 mai 2018</w:t>
      </w:r>
    </w:p>
  </w:footnote>
  <w:footnote w:id="8">
    <w:p w14:paraId="4A1DE562" w14:textId="77777777" w:rsidR="00833C00" w:rsidRPr="00306C67" w:rsidRDefault="00833C00" w:rsidP="00306C67">
      <w:pPr>
        <w:pStyle w:val="Notedebasdepage"/>
        <w:jc w:val="both"/>
        <w:rPr>
          <w:sz w:val="18"/>
          <w:szCs w:val="18"/>
        </w:rPr>
      </w:pPr>
      <w:r w:rsidRPr="00306C67">
        <w:rPr>
          <w:rStyle w:val="Appelnotedebasdep"/>
          <w:sz w:val="18"/>
          <w:szCs w:val="18"/>
        </w:rPr>
        <w:footnoteRef/>
      </w:r>
      <w:r w:rsidRPr="00306C67">
        <w:rPr>
          <w:sz w:val="18"/>
          <w:szCs w:val="18"/>
        </w:rPr>
        <w:t xml:space="preserve"> L’ordonnance n° 2016-1635 du 1er décembre 2016 renforçant le dispositif français de lutte contre le blanchiment et le financement du terrorisme et le décret n° 2017-1094 du 12 juin 2017 relatif au registre des bénéficiaires effectifs définis à l’article L. 561-2-2 du code monétaire et financier ont transposé l’article 30 de la directive (UE) 2015/849 du Parlement européen et du Conseil du 20 mai 2015 relative à la prévention de l’utilisation du système financier aux fins du blanchiment de capitaux ou du financement du terrorisme. </w:t>
      </w:r>
    </w:p>
  </w:footnote>
  <w:footnote w:id="9">
    <w:p w14:paraId="46B5DFB3" w14:textId="77777777" w:rsidR="005F3CB9" w:rsidRPr="00306C67" w:rsidRDefault="005F3CB9" w:rsidP="00306C67">
      <w:pPr>
        <w:pStyle w:val="Notedebasdepage"/>
        <w:jc w:val="both"/>
        <w:rPr>
          <w:sz w:val="18"/>
          <w:szCs w:val="18"/>
        </w:rPr>
      </w:pPr>
      <w:r w:rsidRPr="00306C67">
        <w:rPr>
          <w:rStyle w:val="Appelnotedebasdep"/>
          <w:sz w:val="18"/>
          <w:szCs w:val="18"/>
        </w:rPr>
        <w:footnoteRef/>
      </w:r>
      <w:r w:rsidRPr="00306C67">
        <w:rPr>
          <w:sz w:val="18"/>
          <w:szCs w:val="18"/>
        </w:rPr>
        <w:t xml:space="preserve"> Article </w:t>
      </w:r>
      <w:hyperlink r:id="rId5" w:history="1">
        <w:r w:rsidRPr="00306C67">
          <w:rPr>
            <w:rStyle w:val="Lienhypertexte"/>
            <w:sz w:val="18"/>
            <w:szCs w:val="18"/>
          </w:rPr>
          <w:t>L.561-47</w:t>
        </w:r>
      </w:hyperlink>
      <w:r w:rsidRPr="00306C67">
        <w:rPr>
          <w:sz w:val="18"/>
          <w:szCs w:val="18"/>
        </w:rPr>
        <w:t xml:space="preserve"> du Code monétaire et financier</w:t>
      </w:r>
    </w:p>
  </w:footnote>
  <w:footnote w:id="10">
    <w:p w14:paraId="7FBF4F0B" w14:textId="74215A58" w:rsidR="00236725" w:rsidRPr="00306C67" w:rsidRDefault="00236725" w:rsidP="00306C67">
      <w:pPr>
        <w:pStyle w:val="Notedebasdepage"/>
        <w:jc w:val="both"/>
        <w:rPr>
          <w:sz w:val="18"/>
          <w:szCs w:val="18"/>
        </w:rPr>
      </w:pPr>
      <w:r w:rsidRPr="00306C67">
        <w:rPr>
          <w:rStyle w:val="Appelnotedebasdep"/>
          <w:sz w:val="18"/>
          <w:szCs w:val="18"/>
        </w:rPr>
        <w:footnoteRef/>
      </w:r>
      <w:r w:rsidRPr="00306C67">
        <w:rPr>
          <w:sz w:val="18"/>
          <w:szCs w:val="18"/>
        </w:rPr>
        <w:t xml:space="preserve"> Articles </w:t>
      </w:r>
      <w:hyperlink r:id="rId6" w:history="1">
        <w:r w:rsidR="006669D5" w:rsidRPr="00306C67">
          <w:rPr>
            <w:rStyle w:val="Lienhypertexte"/>
            <w:sz w:val="18"/>
            <w:szCs w:val="18"/>
          </w:rPr>
          <w:t>L.561-46</w:t>
        </w:r>
      </w:hyperlink>
      <w:r w:rsidR="006669D5" w:rsidRPr="00306C67">
        <w:rPr>
          <w:sz w:val="18"/>
          <w:szCs w:val="18"/>
        </w:rPr>
        <w:t xml:space="preserve"> du Code monétaire et financier </w:t>
      </w:r>
    </w:p>
  </w:footnote>
  <w:footnote w:id="11">
    <w:p w14:paraId="0CF03D8F" w14:textId="4DBE451A" w:rsidR="00CB2971" w:rsidRPr="00306C67" w:rsidRDefault="00CB2971" w:rsidP="00306C67">
      <w:pPr>
        <w:pStyle w:val="Notedebasdepage"/>
        <w:jc w:val="both"/>
        <w:rPr>
          <w:sz w:val="18"/>
          <w:szCs w:val="18"/>
        </w:rPr>
      </w:pPr>
      <w:r w:rsidRPr="00306C67">
        <w:rPr>
          <w:rStyle w:val="Appelnotedebasdep"/>
          <w:sz w:val="18"/>
          <w:szCs w:val="18"/>
        </w:rPr>
        <w:footnoteRef/>
      </w:r>
      <w:r w:rsidRPr="00306C67">
        <w:rPr>
          <w:sz w:val="18"/>
          <w:szCs w:val="18"/>
        </w:rPr>
        <w:t xml:space="preserve"> </w:t>
      </w:r>
      <w:hyperlink r:id="rId7" w:history="1">
        <w:r w:rsidRPr="00306C67">
          <w:rPr>
            <w:rStyle w:val="Lienhypertexte"/>
            <w:sz w:val="18"/>
            <w:szCs w:val="18"/>
          </w:rPr>
          <w:t>Actes</w:t>
        </w:r>
      </w:hyperlink>
      <w:r w:rsidRPr="00306C67">
        <w:rPr>
          <w:sz w:val="18"/>
          <w:szCs w:val="18"/>
        </w:rPr>
        <w:t xml:space="preserve"> du 131</w:t>
      </w:r>
      <w:r w:rsidRPr="00306C67">
        <w:rPr>
          <w:sz w:val="18"/>
          <w:szCs w:val="18"/>
          <w:vertAlign w:val="superscript"/>
        </w:rPr>
        <w:t>ème</w:t>
      </w:r>
      <w:r w:rsidRPr="00306C67">
        <w:rPr>
          <w:sz w:val="18"/>
          <w:szCs w:val="18"/>
        </w:rPr>
        <w:t xml:space="preserve"> congrès du Conseil National des Greffiers des Tribunaux de Commerce, p.115</w:t>
      </w:r>
      <w:bookmarkStart w:id="0" w:name="_GoBack"/>
      <w:bookmarkEnd w:id="0"/>
    </w:p>
  </w:footnote>
  <w:footnote w:id="12">
    <w:p w14:paraId="0ABF1863" w14:textId="26DEC6DA" w:rsidR="009717DB" w:rsidRPr="00306C67" w:rsidRDefault="009717DB" w:rsidP="00306C67">
      <w:pPr>
        <w:spacing w:after="0"/>
        <w:jc w:val="both"/>
        <w:rPr>
          <w:sz w:val="18"/>
          <w:szCs w:val="18"/>
        </w:rPr>
      </w:pPr>
      <w:r w:rsidRPr="00306C67">
        <w:rPr>
          <w:rStyle w:val="Appelnotedebasdep"/>
          <w:sz w:val="18"/>
          <w:szCs w:val="18"/>
        </w:rPr>
        <w:footnoteRef/>
      </w:r>
      <w:r w:rsidRPr="00306C67">
        <w:rPr>
          <w:sz w:val="18"/>
          <w:szCs w:val="18"/>
        </w:rPr>
        <w:t xml:space="preserve"> Le service public exercé par les greffiers des tribunaux de commerce est financé directement par l’utilisateur et non par l’impôt. Le déploiement du registre des bénéficiaires effectifs, qualifié de « challenge » par la profession, a nécessité le recrutement de plusieurs centaines de collaborateurs. Quelques mois à peine après la création de ce registre, le tarif des prestations des greffiers des tribunaux de commerce a pourtant été baissé de 5%</w:t>
      </w:r>
      <w:r w:rsidR="00BB5887" w:rsidRPr="00306C67">
        <w:rPr>
          <w:sz w:val="18"/>
          <w:szCs w:val="18"/>
        </w:rPr>
        <w:t xml:space="preserve"> (Cf. </w:t>
      </w:r>
      <w:hyperlink r:id="rId8" w:history="1">
        <w:r w:rsidRPr="00306C67">
          <w:rPr>
            <w:rStyle w:val="Lienhypertexte"/>
            <w:sz w:val="18"/>
            <w:szCs w:val="18"/>
          </w:rPr>
          <w:t>Rapport d’activité 2018</w:t>
        </w:r>
      </w:hyperlink>
      <w:r w:rsidRPr="00306C67">
        <w:rPr>
          <w:sz w:val="18"/>
          <w:szCs w:val="18"/>
        </w:rPr>
        <w:t>, Greffiers des tribunaux de commerce, p.</w:t>
      </w:r>
      <w:r w:rsidR="00B01CFB" w:rsidRPr="00306C67">
        <w:rPr>
          <w:sz w:val="18"/>
          <w:szCs w:val="18"/>
        </w:rPr>
        <w:t>6)</w:t>
      </w:r>
    </w:p>
  </w:footnote>
  <w:footnote w:id="13">
    <w:p w14:paraId="506D67D2" w14:textId="77777777" w:rsidR="005F3CB9" w:rsidRPr="00306C67" w:rsidRDefault="005F3CB9" w:rsidP="00306C67">
      <w:pPr>
        <w:pStyle w:val="Notedebasdepage"/>
        <w:jc w:val="both"/>
        <w:rPr>
          <w:sz w:val="18"/>
          <w:szCs w:val="18"/>
        </w:rPr>
      </w:pPr>
      <w:r w:rsidRPr="00306C67">
        <w:rPr>
          <w:rStyle w:val="Appelnotedebasdep"/>
          <w:sz w:val="18"/>
          <w:szCs w:val="18"/>
        </w:rPr>
        <w:footnoteRef/>
      </w:r>
      <w:r w:rsidRPr="00306C67">
        <w:rPr>
          <w:sz w:val="18"/>
          <w:szCs w:val="18"/>
        </w:rPr>
        <w:t xml:space="preserve"> </w:t>
      </w:r>
      <w:hyperlink r:id="rId9" w:history="1">
        <w:r w:rsidRPr="00306C67">
          <w:rPr>
            <w:rStyle w:val="Lienhypertexte"/>
            <w:sz w:val="18"/>
            <w:szCs w:val="18"/>
          </w:rPr>
          <w:t>Article L. 561-2</w:t>
        </w:r>
      </w:hyperlink>
      <w:r w:rsidRPr="00306C67">
        <w:rPr>
          <w:sz w:val="18"/>
          <w:szCs w:val="18"/>
        </w:rPr>
        <w:t xml:space="preserve"> du Code monétaire et financier </w:t>
      </w:r>
    </w:p>
  </w:footnote>
  <w:footnote w:id="14">
    <w:p w14:paraId="1034C8F8" w14:textId="77777777" w:rsidR="005F3CB9" w:rsidRPr="00306C67" w:rsidRDefault="005F3CB9" w:rsidP="00306C67">
      <w:pPr>
        <w:pStyle w:val="Notedebasdepage"/>
        <w:jc w:val="both"/>
        <w:rPr>
          <w:sz w:val="18"/>
          <w:szCs w:val="18"/>
        </w:rPr>
      </w:pPr>
      <w:r w:rsidRPr="00306C67">
        <w:rPr>
          <w:rStyle w:val="Appelnotedebasdep"/>
          <w:sz w:val="18"/>
          <w:szCs w:val="18"/>
        </w:rPr>
        <w:footnoteRef/>
      </w:r>
      <w:r w:rsidRPr="00306C67">
        <w:rPr>
          <w:sz w:val="18"/>
          <w:szCs w:val="18"/>
        </w:rPr>
        <w:t xml:space="preserve"> </w:t>
      </w:r>
      <w:hyperlink r:id="rId10" w:history="1">
        <w:r w:rsidRPr="00306C67">
          <w:rPr>
            <w:rStyle w:val="Lienhypertexte"/>
            <w:sz w:val="18"/>
            <w:szCs w:val="18"/>
          </w:rPr>
          <w:t>Article L. 561-4-1</w:t>
        </w:r>
      </w:hyperlink>
      <w:r w:rsidRPr="00306C67">
        <w:rPr>
          <w:sz w:val="18"/>
          <w:szCs w:val="18"/>
        </w:rPr>
        <w:t xml:space="preserve"> du Code monétaire et financier </w:t>
      </w:r>
    </w:p>
  </w:footnote>
  <w:footnote w:id="15">
    <w:p w14:paraId="540E983A" w14:textId="77777777" w:rsidR="005F3CB9" w:rsidRPr="00306C67" w:rsidRDefault="005F3CB9" w:rsidP="00306C67">
      <w:pPr>
        <w:pStyle w:val="Notedebasdepage"/>
        <w:jc w:val="both"/>
        <w:rPr>
          <w:sz w:val="18"/>
          <w:szCs w:val="18"/>
        </w:rPr>
      </w:pPr>
      <w:r w:rsidRPr="00306C67">
        <w:rPr>
          <w:rStyle w:val="Appelnotedebasdep"/>
          <w:sz w:val="18"/>
          <w:szCs w:val="18"/>
        </w:rPr>
        <w:footnoteRef/>
      </w:r>
      <w:r w:rsidRPr="00306C67">
        <w:rPr>
          <w:sz w:val="18"/>
          <w:szCs w:val="18"/>
        </w:rPr>
        <w:t xml:space="preserve"> </w:t>
      </w:r>
      <w:hyperlink r:id="rId11" w:history="1">
        <w:r w:rsidRPr="00306C67">
          <w:rPr>
            <w:rStyle w:val="Lienhypertexte"/>
            <w:sz w:val="18"/>
            <w:szCs w:val="18"/>
          </w:rPr>
          <w:t>Rapport annuel d’activité</w:t>
        </w:r>
      </w:hyperlink>
      <w:r w:rsidRPr="00306C67">
        <w:rPr>
          <w:sz w:val="18"/>
          <w:szCs w:val="18"/>
        </w:rPr>
        <w:t xml:space="preserve"> de TracFin pour l’année 2018, p.14</w:t>
      </w:r>
    </w:p>
  </w:footnote>
  <w:footnote w:id="16">
    <w:p w14:paraId="084D9AC6" w14:textId="68FBD15C" w:rsidR="00994D68" w:rsidRPr="00306C67" w:rsidRDefault="00994D68" w:rsidP="00306C67">
      <w:pPr>
        <w:pStyle w:val="Notedebasdepage"/>
        <w:jc w:val="both"/>
        <w:rPr>
          <w:sz w:val="18"/>
          <w:szCs w:val="18"/>
        </w:rPr>
      </w:pPr>
      <w:r w:rsidRPr="00306C67">
        <w:rPr>
          <w:rStyle w:val="Appelnotedebasdep"/>
          <w:sz w:val="18"/>
          <w:szCs w:val="18"/>
        </w:rPr>
        <w:footnoteRef/>
      </w:r>
      <w:r w:rsidRPr="00306C67">
        <w:rPr>
          <w:sz w:val="18"/>
          <w:szCs w:val="18"/>
        </w:rPr>
        <w:t xml:space="preserve"> </w:t>
      </w:r>
      <w:hyperlink r:id="rId12" w:history="1">
        <w:r w:rsidRPr="000D2B21">
          <w:rPr>
            <w:rStyle w:val="Lienhypertexte"/>
            <w:sz w:val="18"/>
            <w:szCs w:val="18"/>
          </w:rPr>
          <w:t>Ordonnance n° 2020-115 du 12 février 2020</w:t>
        </w:r>
      </w:hyperlink>
      <w:r w:rsidRPr="00306C67">
        <w:rPr>
          <w:sz w:val="18"/>
          <w:szCs w:val="18"/>
        </w:rPr>
        <w:t xml:space="preserve"> renforçant le dispositif national de lutte contre le blanchiment de capitaux et le financement du terrorisme</w:t>
      </w:r>
    </w:p>
  </w:footnote>
  <w:footnote w:id="17">
    <w:p w14:paraId="27058C0B" w14:textId="77777777" w:rsidR="004468D5" w:rsidRPr="00306C67" w:rsidRDefault="004468D5" w:rsidP="00306C67">
      <w:pPr>
        <w:pStyle w:val="Notedebasdepage"/>
        <w:jc w:val="both"/>
        <w:rPr>
          <w:sz w:val="18"/>
          <w:szCs w:val="18"/>
        </w:rPr>
      </w:pPr>
      <w:r w:rsidRPr="00306C67">
        <w:rPr>
          <w:rStyle w:val="Appelnotedebasdep"/>
          <w:sz w:val="18"/>
          <w:szCs w:val="18"/>
        </w:rPr>
        <w:footnoteRef/>
      </w:r>
      <w:r w:rsidRPr="00306C67">
        <w:rPr>
          <w:sz w:val="18"/>
          <w:szCs w:val="18"/>
        </w:rPr>
        <w:t xml:space="preserve"> En janvier 2020, le </w:t>
      </w:r>
      <w:hyperlink r:id="rId13" w:history="1">
        <w:r w:rsidRPr="00306C67">
          <w:rPr>
            <w:rStyle w:val="Lienhypertexte"/>
            <w:sz w:val="18"/>
            <w:szCs w:val="18"/>
          </w:rPr>
          <w:t>Consortium International des Journalistes d’Investigation</w:t>
        </w:r>
      </w:hyperlink>
      <w:r w:rsidRPr="00306C67">
        <w:rPr>
          <w:sz w:val="18"/>
          <w:szCs w:val="18"/>
        </w:rPr>
        <w:t xml:space="preserve"> publie sous le titre de « Luanda Leaks » un rapport détaillé sur la manière dont Isabel dos Santos, la fille de l’ancien Président de la République d’Angola aurait « fait fortune au détriment du peuple angolais ». Ce dossier s'est basé sur environ 715 000 documents reçus par le consortium, détaillant les pratique, participations et transactions financières qui auraient permis à Isabel dos Santos et à son mari de détourner une grande quantité d'argent public de l'Angola vers des paradis fiscaux.</w:t>
      </w:r>
    </w:p>
  </w:footnote>
  <w:footnote w:id="18">
    <w:p w14:paraId="555A59C0" w14:textId="13FD1003" w:rsidR="00795A6D" w:rsidRPr="00306C67" w:rsidRDefault="00795A6D" w:rsidP="00306C67">
      <w:pPr>
        <w:spacing w:after="0"/>
        <w:jc w:val="both"/>
        <w:rPr>
          <w:sz w:val="18"/>
          <w:szCs w:val="18"/>
          <w:lang w:val="en-US"/>
        </w:rPr>
      </w:pPr>
      <w:r w:rsidRPr="00306C67">
        <w:rPr>
          <w:rStyle w:val="Appelnotedebasdep"/>
          <w:sz w:val="18"/>
          <w:szCs w:val="18"/>
        </w:rPr>
        <w:footnoteRef/>
      </w:r>
      <w:r w:rsidRPr="00306C67">
        <w:rPr>
          <w:sz w:val="18"/>
          <w:szCs w:val="18"/>
          <w:lang w:val="en-US"/>
        </w:rPr>
        <w:t xml:space="preserve"> </w:t>
      </w:r>
      <w:r w:rsidR="005E16EA" w:rsidRPr="00306C67">
        <w:rPr>
          <w:sz w:val="18"/>
          <w:szCs w:val="18"/>
          <w:lang w:val="en-US"/>
        </w:rPr>
        <w:t>Global Witness,</w:t>
      </w:r>
      <w:r w:rsidR="0036452A" w:rsidRPr="00306C67">
        <w:rPr>
          <w:sz w:val="18"/>
          <w:szCs w:val="18"/>
          <w:lang w:val="en-US"/>
        </w:rPr>
        <w:t xml:space="preserve"> “</w:t>
      </w:r>
      <w:hyperlink r:id="rId14" w:history="1">
        <w:r w:rsidR="005E16EA" w:rsidRPr="00306C67">
          <w:rPr>
            <w:rStyle w:val="Lienhypertexte"/>
            <w:sz w:val="18"/>
            <w:szCs w:val="18"/>
            <w:lang w:val="en-US"/>
          </w:rPr>
          <w:t>Getting the UK’s house in order</w:t>
        </w:r>
      </w:hyperlink>
      <w:r w:rsidR="005E16EA" w:rsidRPr="00306C67">
        <w:rPr>
          <w:sz w:val="18"/>
          <w:szCs w:val="18"/>
          <w:lang w:val="en-US"/>
        </w:rPr>
        <w:t>”, mai 2019</w:t>
      </w:r>
    </w:p>
  </w:footnote>
  <w:footnote w:id="19">
    <w:p w14:paraId="5AD3069F" w14:textId="77777777" w:rsidR="005F695F" w:rsidRPr="00306C67" w:rsidRDefault="005F695F" w:rsidP="00306C67">
      <w:pPr>
        <w:pStyle w:val="Notedebasdepage"/>
        <w:jc w:val="both"/>
        <w:rPr>
          <w:sz w:val="18"/>
          <w:szCs w:val="18"/>
          <w:lang w:val="en-US"/>
        </w:rPr>
      </w:pPr>
      <w:r w:rsidRPr="00306C67">
        <w:rPr>
          <w:rStyle w:val="Appelnotedebasdep"/>
          <w:sz w:val="18"/>
          <w:szCs w:val="18"/>
        </w:rPr>
        <w:footnoteRef/>
      </w:r>
      <w:r w:rsidRPr="00306C67">
        <w:rPr>
          <w:sz w:val="18"/>
          <w:szCs w:val="18"/>
          <w:lang w:val="en-US"/>
        </w:rPr>
        <w:t xml:space="preserve"> Global Witness, “</w:t>
      </w:r>
      <w:hyperlink r:id="rId15" w:history="1">
        <w:r w:rsidRPr="00306C67">
          <w:rPr>
            <w:rStyle w:val="Lienhypertexte"/>
            <w:sz w:val="18"/>
            <w:szCs w:val="18"/>
            <w:lang w:val="en-US"/>
          </w:rPr>
          <w:t>Patchy progress in setting up public beneficial ownership registers in the EU</w:t>
        </w:r>
      </w:hyperlink>
      <w:r w:rsidRPr="00306C67">
        <w:rPr>
          <w:sz w:val="18"/>
          <w:szCs w:val="18"/>
          <w:lang w:val="en-US"/>
        </w:rPr>
        <w:t>”, mars 2020</w:t>
      </w:r>
    </w:p>
  </w:footnote>
  <w:footnote w:id="20">
    <w:p w14:paraId="3785573D" w14:textId="77777777" w:rsidR="004B1624" w:rsidRPr="00306C67" w:rsidRDefault="004B1624" w:rsidP="00306C67">
      <w:pPr>
        <w:pStyle w:val="Notedebasdepage"/>
        <w:jc w:val="both"/>
        <w:rPr>
          <w:sz w:val="18"/>
          <w:szCs w:val="18"/>
        </w:rPr>
      </w:pPr>
      <w:r w:rsidRPr="00306C67">
        <w:rPr>
          <w:rStyle w:val="Appelnotedebasdep"/>
          <w:sz w:val="18"/>
          <w:szCs w:val="18"/>
        </w:rPr>
        <w:footnoteRef/>
      </w:r>
      <w:r w:rsidRPr="00306C67">
        <w:rPr>
          <w:sz w:val="18"/>
          <w:szCs w:val="18"/>
        </w:rPr>
        <w:t xml:space="preserve"> Art. L. 561-46 du Code Monétaire et Financier modifié par l’article 8 de l’</w:t>
      </w:r>
      <w:hyperlink r:id="rId16" w:history="1">
        <w:r w:rsidRPr="00306C67">
          <w:rPr>
            <w:rStyle w:val="Lienhypertexte"/>
            <w:sz w:val="18"/>
            <w:szCs w:val="18"/>
          </w:rPr>
          <w:t>ordonnance n° 2020-115 du 12 février 2020</w:t>
        </w:r>
      </w:hyperlink>
      <w:r w:rsidRPr="00306C67">
        <w:rPr>
          <w:sz w:val="18"/>
          <w:szCs w:val="18"/>
        </w:rPr>
        <w:t xml:space="preserve"> renforçant le dispositif national de lutte contre le blanchiment de capitaux et le financement du terrorisme</w:t>
      </w:r>
    </w:p>
  </w:footnote>
  <w:footnote w:id="21">
    <w:p w14:paraId="3EA87047" w14:textId="60C32385" w:rsidR="008F07A6" w:rsidRPr="00306C67" w:rsidRDefault="004D31FF" w:rsidP="00306C67">
      <w:pPr>
        <w:pStyle w:val="Notedebasdepage"/>
        <w:jc w:val="both"/>
        <w:rPr>
          <w:sz w:val="18"/>
          <w:szCs w:val="18"/>
        </w:rPr>
      </w:pPr>
      <w:r w:rsidRPr="00306C67">
        <w:rPr>
          <w:rStyle w:val="Appelnotedebasdep"/>
          <w:sz w:val="18"/>
          <w:szCs w:val="18"/>
        </w:rPr>
        <w:footnoteRef/>
      </w:r>
      <w:r w:rsidRPr="00306C67">
        <w:rPr>
          <w:sz w:val="18"/>
          <w:szCs w:val="18"/>
        </w:rPr>
        <w:t xml:space="preserve"> </w:t>
      </w:r>
      <w:hyperlink r:id="rId17" w:history="1">
        <w:r w:rsidR="008F07A6" w:rsidRPr="00306C67">
          <w:rPr>
            <w:rStyle w:val="Lienhypertexte"/>
            <w:sz w:val="18"/>
            <w:szCs w:val="18"/>
          </w:rPr>
          <w:t>https://www.infogreffe.fr/rbe</w:t>
        </w:r>
      </w:hyperlink>
      <w:r w:rsidR="008F07A6" w:rsidRPr="00306C67">
        <w:rPr>
          <w:sz w:val="18"/>
          <w:szCs w:val="18"/>
        </w:rPr>
        <w:t xml:space="preserve"> [consulté le 7 avril 2020]</w:t>
      </w:r>
    </w:p>
  </w:footnote>
  <w:footnote w:id="22">
    <w:p w14:paraId="21F00751" w14:textId="09399C11" w:rsidR="00CB047A" w:rsidRPr="00F87C32" w:rsidRDefault="00CB047A" w:rsidP="00F87C32">
      <w:pPr>
        <w:pStyle w:val="Notedebasdepage"/>
        <w:jc w:val="both"/>
        <w:rPr>
          <w:sz w:val="18"/>
          <w:szCs w:val="18"/>
        </w:rPr>
      </w:pPr>
      <w:r w:rsidRPr="00F87C32">
        <w:rPr>
          <w:rStyle w:val="Appelnotedebasdep"/>
          <w:sz w:val="18"/>
          <w:szCs w:val="18"/>
        </w:rPr>
        <w:footnoteRef/>
      </w:r>
      <w:r w:rsidRPr="00F87C32">
        <w:rPr>
          <w:sz w:val="18"/>
          <w:szCs w:val="18"/>
        </w:rPr>
        <w:t xml:space="preserve"> Article</w:t>
      </w:r>
      <w:r w:rsidRPr="00F87C32">
        <w:rPr>
          <w:rFonts w:cs="Verdana"/>
          <w:sz w:val="18"/>
          <w:szCs w:val="18"/>
        </w:rPr>
        <w:t xml:space="preserve"> L. 561-46 du Code </w:t>
      </w:r>
      <w:r w:rsidR="000D2B21">
        <w:rPr>
          <w:rFonts w:cs="Verdana"/>
          <w:sz w:val="18"/>
          <w:szCs w:val="18"/>
        </w:rPr>
        <w:t>m</w:t>
      </w:r>
      <w:r w:rsidRPr="00F87C32">
        <w:rPr>
          <w:rFonts w:cs="Verdana"/>
          <w:sz w:val="18"/>
          <w:szCs w:val="18"/>
        </w:rPr>
        <w:t xml:space="preserve">onétaire et </w:t>
      </w:r>
      <w:r w:rsidR="000D2B21">
        <w:rPr>
          <w:rFonts w:cs="Verdana"/>
          <w:sz w:val="18"/>
          <w:szCs w:val="18"/>
        </w:rPr>
        <w:t>f</w:t>
      </w:r>
      <w:r w:rsidRPr="00F87C32">
        <w:rPr>
          <w:rFonts w:cs="Verdana"/>
          <w:sz w:val="18"/>
          <w:szCs w:val="18"/>
        </w:rPr>
        <w:t xml:space="preserve">inancier modifié par l’article 8 </w:t>
      </w:r>
      <w:r w:rsidRPr="00F87C32">
        <w:rPr>
          <w:sz w:val="18"/>
          <w:szCs w:val="18"/>
        </w:rPr>
        <w:t>de l’</w:t>
      </w:r>
      <w:hyperlink r:id="rId18" w:history="1">
        <w:r w:rsidRPr="00F87C32">
          <w:rPr>
            <w:rStyle w:val="Lienhypertexte"/>
            <w:sz w:val="18"/>
            <w:szCs w:val="18"/>
          </w:rPr>
          <w:t>ordonnance n° 2020-115 du 12 février 2020</w:t>
        </w:r>
      </w:hyperlink>
      <w:r w:rsidRPr="00F87C32">
        <w:rPr>
          <w:sz w:val="18"/>
          <w:szCs w:val="18"/>
        </w:rPr>
        <w:t xml:space="preserve"> renforçant le dispositif national de lutte contre le blanchiment de capitaux et le financement du terrorisme</w:t>
      </w:r>
    </w:p>
  </w:footnote>
  <w:footnote w:id="23">
    <w:p w14:paraId="7496E3F5" w14:textId="54014B4D" w:rsidR="00CB047A" w:rsidRPr="00F87C32" w:rsidRDefault="00CB047A" w:rsidP="00F87C32">
      <w:pPr>
        <w:pStyle w:val="Notedebasdepage"/>
        <w:jc w:val="both"/>
        <w:rPr>
          <w:sz w:val="18"/>
          <w:szCs w:val="18"/>
        </w:rPr>
      </w:pPr>
      <w:r w:rsidRPr="00F87C32">
        <w:rPr>
          <w:rStyle w:val="Appelnotedebasdep"/>
          <w:sz w:val="18"/>
          <w:szCs w:val="18"/>
        </w:rPr>
        <w:footnoteRef/>
      </w:r>
      <w:r w:rsidRPr="00F87C32">
        <w:rPr>
          <w:sz w:val="18"/>
          <w:szCs w:val="18"/>
        </w:rPr>
        <w:t xml:space="preserve"> </w:t>
      </w:r>
      <w:r w:rsidRPr="00F87C32">
        <w:rPr>
          <w:i/>
          <w:iCs/>
          <w:sz w:val="18"/>
          <w:szCs w:val="18"/>
        </w:rPr>
        <w:t>Ibid</w:t>
      </w:r>
      <w:r w:rsidRPr="00F87C32">
        <w:rPr>
          <w:sz w:val="18"/>
          <w:szCs w:val="18"/>
        </w:rPr>
        <w:t xml:space="preserve">. </w:t>
      </w:r>
      <w:r w:rsidR="007A34F4" w:rsidRPr="00F87C32">
        <w:rPr>
          <w:sz w:val="18"/>
          <w:szCs w:val="18"/>
        </w:rPr>
        <w:t>19</w:t>
      </w:r>
    </w:p>
  </w:footnote>
  <w:footnote w:id="24">
    <w:p w14:paraId="73BA6D97" w14:textId="0BAE0F31" w:rsidR="007A34F4" w:rsidRDefault="007A34F4" w:rsidP="00F87C32">
      <w:pPr>
        <w:pStyle w:val="Notedebasdepage"/>
        <w:jc w:val="both"/>
      </w:pPr>
      <w:r w:rsidRPr="00F87C32">
        <w:rPr>
          <w:rStyle w:val="Appelnotedebasdep"/>
          <w:sz w:val="18"/>
          <w:szCs w:val="18"/>
        </w:rPr>
        <w:footnoteRef/>
      </w:r>
      <w:r w:rsidRPr="00F87C32">
        <w:rPr>
          <w:sz w:val="18"/>
          <w:szCs w:val="18"/>
        </w:rPr>
        <w:t xml:space="preserve"> </w:t>
      </w:r>
      <w:hyperlink r:id="rId19" w:history="1">
        <w:r w:rsidR="00714BA4" w:rsidRPr="00F87C32">
          <w:rPr>
            <w:rStyle w:val="Lienhypertexte"/>
            <w:sz w:val="18"/>
            <w:szCs w:val="18"/>
          </w:rPr>
          <w:t>Integrity Watch France</w:t>
        </w:r>
      </w:hyperlink>
      <w:r w:rsidR="00714BA4" w:rsidRPr="00F87C32">
        <w:rPr>
          <w:sz w:val="18"/>
          <w:szCs w:val="18"/>
        </w:rPr>
        <w:t xml:space="preserve"> est une base de données interactive mise en place par Transparency International France qui offre un aperçu des intérêts et activités déclarés par les parlementaires en vue</w:t>
      </w:r>
      <w:r w:rsidR="00467BCD" w:rsidRPr="00F87C32">
        <w:rPr>
          <w:sz w:val="18"/>
          <w:szCs w:val="18"/>
        </w:rPr>
        <w:t xml:space="preserve"> d’identifier les activités susceptibles</w:t>
      </w:r>
      <w:r w:rsidR="00714BA4" w:rsidRPr="00F87C32">
        <w:rPr>
          <w:sz w:val="18"/>
          <w:szCs w:val="18"/>
        </w:rPr>
        <w:t xml:space="preserve"> de générer des conflits d’intérêts.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56C8F"/>
    <w:multiLevelType w:val="multilevel"/>
    <w:tmpl w:val="E65CF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9D5B2C"/>
    <w:multiLevelType w:val="hybridMultilevel"/>
    <w:tmpl w:val="3446D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EE11CD"/>
    <w:multiLevelType w:val="hybridMultilevel"/>
    <w:tmpl w:val="C92C2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D12"/>
    <w:rsid w:val="00002BE0"/>
    <w:rsid w:val="00002E27"/>
    <w:rsid w:val="00010BC6"/>
    <w:rsid w:val="00017608"/>
    <w:rsid w:val="00030566"/>
    <w:rsid w:val="00032F4C"/>
    <w:rsid w:val="0004067B"/>
    <w:rsid w:val="00045DBE"/>
    <w:rsid w:val="00052931"/>
    <w:rsid w:val="00057166"/>
    <w:rsid w:val="000711A2"/>
    <w:rsid w:val="0007161D"/>
    <w:rsid w:val="00073A23"/>
    <w:rsid w:val="00081AF1"/>
    <w:rsid w:val="00086A9B"/>
    <w:rsid w:val="0009155D"/>
    <w:rsid w:val="000922AD"/>
    <w:rsid w:val="000A539F"/>
    <w:rsid w:val="000A5F97"/>
    <w:rsid w:val="000B17B6"/>
    <w:rsid w:val="000D2B21"/>
    <w:rsid w:val="000F35BC"/>
    <w:rsid w:val="000F3752"/>
    <w:rsid w:val="000F5C1C"/>
    <w:rsid w:val="0010195F"/>
    <w:rsid w:val="001120B6"/>
    <w:rsid w:val="001159BC"/>
    <w:rsid w:val="00125F48"/>
    <w:rsid w:val="001263EE"/>
    <w:rsid w:val="00134867"/>
    <w:rsid w:val="00135B5A"/>
    <w:rsid w:val="0014126E"/>
    <w:rsid w:val="00141A06"/>
    <w:rsid w:val="00144CAD"/>
    <w:rsid w:val="00145AA1"/>
    <w:rsid w:val="00164E8A"/>
    <w:rsid w:val="00166B42"/>
    <w:rsid w:val="00167C76"/>
    <w:rsid w:val="00170FC2"/>
    <w:rsid w:val="00175340"/>
    <w:rsid w:val="00183CB1"/>
    <w:rsid w:val="00193606"/>
    <w:rsid w:val="00196554"/>
    <w:rsid w:val="001A3372"/>
    <w:rsid w:val="001A7B64"/>
    <w:rsid w:val="001B61AF"/>
    <w:rsid w:val="001B732A"/>
    <w:rsid w:val="001D1594"/>
    <w:rsid w:val="001D3C7F"/>
    <w:rsid w:val="001D402F"/>
    <w:rsid w:val="001E4CC1"/>
    <w:rsid w:val="001F1234"/>
    <w:rsid w:val="001F3336"/>
    <w:rsid w:val="002002DF"/>
    <w:rsid w:val="00200B08"/>
    <w:rsid w:val="002034DD"/>
    <w:rsid w:val="00210C89"/>
    <w:rsid w:val="002171BE"/>
    <w:rsid w:val="00217B2B"/>
    <w:rsid w:val="00217DFD"/>
    <w:rsid w:val="00220A4A"/>
    <w:rsid w:val="0022382E"/>
    <w:rsid w:val="00223B05"/>
    <w:rsid w:val="00223E10"/>
    <w:rsid w:val="00232F5C"/>
    <w:rsid w:val="00234D6B"/>
    <w:rsid w:val="00236725"/>
    <w:rsid w:val="002428D1"/>
    <w:rsid w:val="002447E9"/>
    <w:rsid w:val="002474CE"/>
    <w:rsid w:val="002530C0"/>
    <w:rsid w:val="00256B92"/>
    <w:rsid w:val="0025708D"/>
    <w:rsid w:val="002572FD"/>
    <w:rsid w:val="0026218A"/>
    <w:rsid w:val="00265B59"/>
    <w:rsid w:val="00275AC2"/>
    <w:rsid w:val="002A643A"/>
    <w:rsid w:val="002B01B8"/>
    <w:rsid w:val="002B307E"/>
    <w:rsid w:val="002B7A23"/>
    <w:rsid w:val="002F05F2"/>
    <w:rsid w:val="002F42E7"/>
    <w:rsid w:val="002F71A6"/>
    <w:rsid w:val="003020E0"/>
    <w:rsid w:val="00306C67"/>
    <w:rsid w:val="00310807"/>
    <w:rsid w:val="0032607C"/>
    <w:rsid w:val="00330A26"/>
    <w:rsid w:val="00330A69"/>
    <w:rsid w:val="003407D3"/>
    <w:rsid w:val="0034084F"/>
    <w:rsid w:val="00342534"/>
    <w:rsid w:val="00342C3E"/>
    <w:rsid w:val="00350705"/>
    <w:rsid w:val="00351598"/>
    <w:rsid w:val="003525AA"/>
    <w:rsid w:val="003626D1"/>
    <w:rsid w:val="0036452A"/>
    <w:rsid w:val="003653F2"/>
    <w:rsid w:val="00370F3B"/>
    <w:rsid w:val="00371412"/>
    <w:rsid w:val="00374538"/>
    <w:rsid w:val="00390A78"/>
    <w:rsid w:val="00397BC0"/>
    <w:rsid w:val="003B696A"/>
    <w:rsid w:val="003C781B"/>
    <w:rsid w:val="003D6FE0"/>
    <w:rsid w:val="00406858"/>
    <w:rsid w:val="00411EEA"/>
    <w:rsid w:val="00411FAF"/>
    <w:rsid w:val="00415011"/>
    <w:rsid w:val="00415764"/>
    <w:rsid w:val="004236E1"/>
    <w:rsid w:val="004342F3"/>
    <w:rsid w:val="00435DFA"/>
    <w:rsid w:val="004468D5"/>
    <w:rsid w:val="004651E4"/>
    <w:rsid w:val="00466671"/>
    <w:rsid w:val="00467BCD"/>
    <w:rsid w:val="004701EF"/>
    <w:rsid w:val="00471E17"/>
    <w:rsid w:val="00473BC8"/>
    <w:rsid w:val="004768E7"/>
    <w:rsid w:val="00481D38"/>
    <w:rsid w:val="0048285D"/>
    <w:rsid w:val="00485E72"/>
    <w:rsid w:val="004915B2"/>
    <w:rsid w:val="00497B18"/>
    <w:rsid w:val="004A393C"/>
    <w:rsid w:val="004B1624"/>
    <w:rsid w:val="004B2129"/>
    <w:rsid w:val="004B4551"/>
    <w:rsid w:val="004C3468"/>
    <w:rsid w:val="004C447C"/>
    <w:rsid w:val="004C5532"/>
    <w:rsid w:val="004D0645"/>
    <w:rsid w:val="004D1EBE"/>
    <w:rsid w:val="004D2BAB"/>
    <w:rsid w:val="004D31FF"/>
    <w:rsid w:val="004D4C2E"/>
    <w:rsid w:val="004E346C"/>
    <w:rsid w:val="004E7E7B"/>
    <w:rsid w:val="00511F2A"/>
    <w:rsid w:val="0051345C"/>
    <w:rsid w:val="00516D0C"/>
    <w:rsid w:val="00530E87"/>
    <w:rsid w:val="00535FC5"/>
    <w:rsid w:val="00536345"/>
    <w:rsid w:val="00537B65"/>
    <w:rsid w:val="00545266"/>
    <w:rsid w:val="00545598"/>
    <w:rsid w:val="00547A4F"/>
    <w:rsid w:val="005545A7"/>
    <w:rsid w:val="005648F0"/>
    <w:rsid w:val="00573BDC"/>
    <w:rsid w:val="00586A35"/>
    <w:rsid w:val="005907DE"/>
    <w:rsid w:val="00592EFC"/>
    <w:rsid w:val="00595783"/>
    <w:rsid w:val="00597067"/>
    <w:rsid w:val="005A4B1A"/>
    <w:rsid w:val="005A6898"/>
    <w:rsid w:val="005D50BB"/>
    <w:rsid w:val="005E16EA"/>
    <w:rsid w:val="005E6A39"/>
    <w:rsid w:val="005E7146"/>
    <w:rsid w:val="005E7B63"/>
    <w:rsid w:val="005F35C3"/>
    <w:rsid w:val="005F3CB9"/>
    <w:rsid w:val="005F695F"/>
    <w:rsid w:val="005F7807"/>
    <w:rsid w:val="006124A1"/>
    <w:rsid w:val="00622F46"/>
    <w:rsid w:val="0062386E"/>
    <w:rsid w:val="00631613"/>
    <w:rsid w:val="00635A1B"/>
    <w:rsid w:val="00641669"/>
    <w:rsid w:val="00651FED"/>
    <w:rsid w:val="00664368"/>
    <w:rsid w:val="00664A80"/>
    <w:rsid w:val="006669D5"/>
    <w:rsid w:val="00674A62"/>
    <w:rsid w:val="006757C6"/>
    <w:rsid w:val="006776DA"/>
    <w:rsid w:val="00685D50"/>
    <w:rsid w:val="006A3958"/>
    <w:rsid w:val="006B0CD7"/>
    <w:rsid w:val="006B3D86"/>
    <w:rsid w:val="006B7ACA"/>
    <w:rsid w:val="006C28DB"/>
    <w:rsid w:val="006C70AD"/>
    <w:rsid w:val="006C7809"/>
    <w:rsid w:val="006D1057"/>
    <w:rsid w:val="006D2488"/>
    <w:rsid w:val="006D3E89"/>
    <w:rsid w:val="006E04EE"/>
    <w:rsid w:val="006E2A46"/>
    <w:rsid w:val="006E40BC"/>
    <w:rsid w:val="006E44FA"/>
    <w:rsid w:val="006E5522"/>
    <w:rsid w:val="006E77AA"/>
    <w:rsid w:val="006F452B"/>
    <w:rsid w:val="006F6B65"/>
    <w:rsid w:val="00704F25"/>
    <w:rsid w:val="0071035A"/>
    <w:rsid w:val="00714BA4"/>
    <w:rsid w:val="007208B6"/>
    <w:rsid w:val="00722A46"/>
    <w:rsid w:val="00725F57"/>
    <w:rsid w:val="00730869"/>
    <w:rsid w:val="00732257"/>
    <w:rsid w:val="00734A9C"/>
    <w:rsid w:val="007354D2"/>
    <w:rsid w:val="00745043"/>
    <w:rsid w:val="00747F29"/>
    <w:rsid w:val="00752CC3"/>
    <w:rsid w:val="0075739A"/>
    <w:rsid w:val="00766CE5"/>
    <w:rsid w:val="00766E1D"/>
    <w:rsid w:val="0077053A"/>
    <w:rsid w:val="0077349F"/>
    <w:rsid w:val="00776B4F"/>
    <w:rsid w:val="00777D8C"/>
    <w:rsid w:val="00795A6D"/>
    <w:rsid w:val="007A1348"/>
    <w:rsid w:val="007A1CDC"/>
    <w:rsid w:val="007A34F4"/>
    <w:rsid w:val="007A4865"/>
    <w:rsid w:val="007B17F9"/>
    <w:rsid w:val="007B1931"/>
    <w:rsid w:val="007B1B1B"/>
    <w:rsid w:val="007C32E1"/>
    <w:rsid w:val="007C4467"/>
    <w:rsid w:val="007C4ECC"/>
    <w:rsid w:val="007C75E9"/>
    <w:rsid w:val="007D162E"/>
    <w:rsid w:val="007D5432"/>
    <w:rsid w:val="007D727B"/>
    <w:rsid w:val="007E0DBC"/>
    <w:rsid w:val="007E53DD"/>
    <w:rsid w:val="007E7156"/>
    <w:rsid w:val="007F15C8"/>
    <w:rsid w:val="007F33A2"/>
    <w:rsid w:val="007F56CE"/>
    <w:rsid w:val="00810456"/>
    <w:rsid w:val="00817DCD"/>
    <w:rsid w:val="00823A89"/>
    <w:rsid w:val="00824E35"/>
    <w:rsid w:val="00825B5F"/>
    <w:rsid w:val="00827B00"/>
    <w:rsid w:val="00830DF1"/>
    <w:rsid w:val="00833C00"/>
    <w:rsid w:val="008412D3"/>
    <w:rsid w:val="00844B2F"/>
    <w:rsid w:val="008521A5"/>
    <w:rsid w:val="008553C6"/>
    <w:rsid w:val="00856C14"/>
    <w:rsid w:val="00870AA8"/>
    <w:rsid w:val="00872782"/>
    <w:rsid w:val="00872B3B"/>
    <w:rsid w:val="00882C36"/>
    <w:rsid w:val="00891203"/>
    <w:rsid w:val="008A01B2"/>
    <w:rsid w:val="008A0ADA"/>
    <w:rsid w:val="008A15B5"/>
    <w:rsid w:val="008C596E"/>
    <w:rsid w:val="008C694B"/>
    <w:rsid w:val="008C7AFA"/>
    <w:rsid w:val="008D21D5"/>
    <w:rsid w:val="008D36D4"/>
    <w:rsid w:val="008D523B"/>
    <w:rsid w:val="008D69FB"/>
    <w:rsid w:val="008E1FFE"/>
    <w:rsid w:val="008E4F72"/>
    <w:rsid w:val="008F07A6"/>
    <w:rsid w:val="008F0828"/>
    <w:rsid w:val="009068E6"/>
    <w:rsid w:val="00907562"/>
    <w:rsid w:val="00914A48"/>
    <w:rsid w:val="009234E7"/>
    <w:rsid w:val="009235E6"/>
    <w:rsid w:val="0093057F"/>
    <w:rsid w:val="0093214A"/>
    <w:rsid w:val="0093633A"/>
    <w:rsid w:val="009378F5"/>
    <w:rsid w:val="0094496D"/>
    <w:rsid w:val="0094611B"/>
    <w:rsid w:val="009520E3"/>
    <w:rsid w:val="00962D50"/>
    <w:rsid w:val="00966B68"/>
    <w:rsid w:val="009717DB"/>
    <w:rsid w:val="00971FB8"/>
    <w:rsid w:val="00973D14"/>
    <w:rsid w:val="00973D4A"/>
    <w:rsid w:val="00980A98"/>
    <w:rsid w:val="009819CA"/>
    <w:rsid w:val="009834F6"/>
    <w:rsid w:val="00984443"/>
    <w:rsid w:val="009863D4"/>
    <w:rsid w:val="00987CA9"/>
    <w:rsid w:val="00991BCF"/>
    <w:rsid w:val="00994D68"/>
    <w:rsid w:val="00995CF8"/>
    <w:rsid w:val="009B0207"/>
    <w:rsid w:val="009B14C3"/>
    <w:rsid w:val="009C00D9"/>
    <w:rsid w:val="009C5421"/>
    <w:rsid w:val="009C5F0F"/>
    <w:rsid w:val="009C6F90"/>
    <w:rsid w:val="009E1566"/>
    <w:rsid w:val="009E248A"/>
    <w:rsid w:val="00A0089B"/>
    <w:rsid w:val="00A153EB"/>
    <w:rsid w:val="00A15F74"/>
    <w:rsid w:val="00A16FE9"/>
    <w:rsid w:val="00A25C13"/>
    <w:rsid w:val="00A35C93"/>
    <w:rsid w:val="00A4180B"/>
    <w:rsid w:val="00A54014"/>
    <w:rsid w:val="00A55BEE"/>
    <w:rsid w:val="00A576B7"/>
    <w:rsid w:val="00A64BA4"/>
    <w:rsid w:val="00A66961"/>
    <w:rsid w:val="00A72FEC"/>
    <w:rsid w:val="00A808B9"/>
    <w:rsid w:val="00AB28B3"/>
    <w:rsid w:val="00AB2F2B"/>
    <w:rsid w:val="00AC4647"/>
    <w:rsid w:val="00AC5840"/>
    <w:rsid w:val="00AD108D"/>
    <w:rsid w:val="00AD22F9"/>
    <w:rsid w:val="00AD512D"/>
    <w:rsid w:val="00AD71A5"/>
    <w:rsid w:val="00AD7C67"/>
    <w:rsid w:val="00AE415A"/>
    <w:rsid w:val="00AE5684"/>
    <w:rsid w:val="00AE57D4"/>
    <w:rsid w:val="00AF2651"/>
    <w:rsid w:val="00AF3158"/>
    <w:rsid w:val="00AF4F0D"/>
    <w:rsid w:val="00AF6B33"/>
    <w:rsid w:val="00B012F3"/>
    <w:rsid w:val="00B018E7"/>
    <w:rsid w:val="00B01CFB"/>
    <w:rsid w:val="00B173ED"/>
    <w:rsid w:val="00B20CA3"/>
    <w:rsid w:val="00B217C8"/>
    <w:rsid w:val="00B245FF"/>
    <w:rsid w:val="00B2484A"/>
    <w:rsid w:val="00B27239"/>
    <w:rsid w:val="00B303F4"/>
    <w:rsid w:val="00B412E6"/>
    <w:rsid w:val="00B4771C"/>
    <w:rsid w:val="00B50B83"/>
    <w:rsid w:val="00B51D35"/>
    <w:rsid w:val="00B5665D"/>
    <w:rsid w:val="00B7204C"/>
    <w:rsid w:val="00B7465A"/>
    <w:rsid w:val="00B957CD"/>
    <w:rsid w:val="00BA1E89"/>
    <w:rsid w:val="00BA3A40"/>
    <w:rsid w:val="00BB5887"/>
    <w:rsid w:val="00BB5E5A"/>
    <w:rsid w:val="00BE1C13"/>
    <w:rsid w:val="00BE5A2E"/>
    <w:rsid w:val="00BF13E3"/>
    <w:rsid w:val="00BF324A"/>
    <w:rsid w:val="00BF52EB"/>
    <w:rsid w:val="00BF6D02"/>
    <w:rsid w:val="00C026B1"/>
    <w:rsid w:val="00C06F6E"/>
    <w:rsid w:val="00C10057"/>
    <w:rsid w:val="00C16020"/>
    <w:rsid w:val="00C21464"/>
    <w:rsid w:val="00C2214F"/>
    <w:rsid w:val="00C227C1"/>
    <w:rsid w:val="00C2489C"/>
    <w:rsid w:val="00C31CBB"/>
    <w:rsid w:val="00C40676"/>
    <w:rsid w:val="00C45EB1"/>
    <w:rsid w:val="00C521BA"/>
    <w:rsid w:val="00C5522E"/>
    <w:rsid w:val="00C615C9"/>
    <w:rsid w:val="00C739D2"/>
    <w:rsid w:val="00C7641D"/>
    <w:rsid w:val="00C82984"/>
    <w:rsid w:val="00C82E1B"/>
    <w:rsid w:val="00C84240"/>
    <w:rsid w:val="00C868F0"/>
    <w:rsid w:val="00C9305E"/>
    <w:rsid w:val="00CA08FF"/>
    <w:rsid w:val="00CB047A"/>
    <w:rsid w:val="00CB2971"/>
    <w:rsid w:val="00CB475D"/>
    <w:rsid w:val="00CC1025"/>
    <w:rsid w:val="00CC54D0"/>
    <w:rsid w:val="00CE2D12"/>
    <w:rsid w:val="00CF3E57"/>
    <w:rsid w:val="00CF3E6D"/>
    <w:rsid w:val="00D015BA"/>
    <w:rsid w:val="00D20524"/>
    <w:rsid w:val="00D22EBD"/>
    <w:rsid w:val="00D25C37"/>
    <w:rsid w:val="00D26186"/>
    <w:rsid w:val="00D26297"/>
    <w:rsid w:val="00D42B39"/>
    <w:rsid w:val="00D5279F"/>
    <w:rsid w:val="00D57C8C"/>
    <w:rsid w:val="00D6579A"/>
    <w:rsid w:val="00D720F1"/>
    <w:rsid w:val="00D74288"/>
    <w:rsid w:val="00D926AC"/>
    <w:rsid w:val="00DA18AA"/>
    <w:rsid w:val="00DA2607"/>
    <w:rsid w:val="00DB1FB2"/>
    <w:rsid w:val="00DB5555"/>
    <w:rsid w:val="00DB7F80"/>
    <w:rsid w:val="00DC10A8"/>
    <w:rsid w:val="00DC208C"/>
    <w:rsid w:val="00DD05BF"/>
    <w:rsid w:val="00DD156B"/>
    <w:rsid w:val="00DD3895"/>
    <w:rsid w:val="00DD4C4E"/>
    <w:rsid w:val="00DD6A62"/>
    <w:rsid w:val="00DE3686"/>
    <w:rsid w:val="00DF18CC"/>
    <w:rsid w:val="00DF1BE6"/>
    <w:rsid w:val="00DF586B"/>
    <w:rsid w:val="00DF5896"/>
    <w:rsid w:val="00E0534E"/>
    <w:rsid w:val="00E21824"/>
    <w:rsid w:val="00E31A17"/>
    <w:rsid w:val="00E3718B"/>
    <w:rsid w:val="00E43DDF"/>
    <w:rsid w:val="00E4592B"/>
    <w:rsid w:val="00E53B0A"/>
    <w:rsid w:val="00E728A7"/>
    <w:rsid w:val="00E75A05"/>
    <w:rsid w:val="00E8059C"/>
    <w:rsid w:val="00E820A9"/>
    <w:rsid w:val="00E84727"/>
    <w:rsid w:val="00E920E2"/>
    <w:rsid w:val="00EA0FAE"/>
    <w:rsid w:val="00EA3655"/>
    <w:rsid w:val="00EB396C"/>
    <w:rsid w:val="00ED0890"/>
    <w:rsid w:val="00ED343E"/>
    <w:rsid w:val="00ED5FAD"/>
    <w:rsid w:val="00EF005B"/>
    <w:rsid w:val="00EF00E4"/>
    <w:rsid w:val="00EF19E6"/>
    <w:rsid w:val="00EF4D01"/>
    <w:rsid w:val="00EF6D6F"/>
    <w:rsid w:val="00F0342D"/>
    <w:rsid w:val="00F05000"/>
    <w:rsid w:val="00F05522"/>
    <w:rsid w:val="00F15C8F"/>
    <w:rsid w:val="00F179E2"/>
    <w:rsid w:val="00F244FF"/>
    <w:rsid w:val="00F300AB"/>
    <w:rsid w:val="00F332AA"/>
    <w:rsid w:val="00F335D2"/>
    <w:rsid w:val="00F33FEB"/>
    <w:rsid w:val="00F40A0E"/>
    <w:rsid w:val="00F429F9"/>
    <w:rsid w:val="00F46E59"/>
    <w:rsid w:val="00F5470E"/>
    <w:rsid w:val="00F57B9C"/>
    <w:rsid w:val="00F66713"/>
    <w:rsid w:val="00F668F2"/>
    <w:rsid w:val="00F729EF"/>
    <w:rsid w:val="00F73908"/>
    <w:rsid w:val="00F756DC"/>
    <w:rsid w:val="00F81D7D"/>
    <w:rsid w:val="00F87200"/>
    <w:rsid w:val="00F87C32"/>
    <w:rsid w:val="00F92822"/>
    <w:rsid w:val="00FA626D"/>
    <w:rsid w:val="00FA74A9"/>
    <w:rsid w:val="00FC5AF5"/>
    <w:rsid w:val="00FD313B"/>
    <w:rsid w:val="00FD59A1"/>
    <w:rsid w:val="00FF235F"/>
    <w:rsid w:val="00FF50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8FCDC3"/>
  <w15:chartTrackingRefBased/>
  <w15:docId w15:val="{3C43B784-A501-4779-8975-209C7777A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D1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msonormal">
    <w:name w:val="x_msonormal"/>
    <w:basedOn w:val="Normal"/>
    <w:rsid w:val="00CE2D12"/>
    <w:pPr>
      <w:spacing w:after="0" w:line="240" w:lineRule="auto"/>
    </w:pPr>
    <w:rPr>
      <w:rFonts w:ascii="Calibri" w:hAnsi="Calibri" w:cs="Calibri"/>
      <w:lang w:val="en-US"/>
    </w:rPr>
  </w:style>
  <w:style w:type="character" w:styleId="Lienhypertexte">
    <w:name w:val="Hyperlink"/>
    <w:basedOn w:val="Policepardfaut"/>
    <w:uiPriority w:val="99"/>
    <w:unhideWhenUsed/>
    <w:rsid w:val="00CE2D12"/>
    <w:rPr>
      <w:color w:val="0000FF"/>
      <w:u w:val="single"/>
    </w:rPr>
  </w:style>
  <w:style w:type="character" w:styleId="Marquedecommentaire">
    <w:name w:val="annotation reference"/>
    <w:basedOn w:val="Policepardfaut"/>
    <w:uiPriority w:val="99"/>
    <w:semiHidden/>
    <w:unhideWhenUsed/>
    <w:rsid w:val="00CE2D12"/>
    <w:rPr>
      <w:sz w:val="16"/>
      <w:szCs w:val="16"/>
    </w:rPr>
  </w:style>
  <w:style w:type="paragraph" w:styleId="Commentaire">
    <w:name w:val="annotation text"/>
    <w:basedOn w:val="Normal"/>
    <w:link w:val="CommentaireCar"/>
    <w:uiPriority w:val="99"/>
    <w:semiHidden/>
    <w:unhideWhenUsed/>
    <w:rsid w:val="00CE2D12"/>
    <w:pPr>
      <w:spacing w:line="240" w:lineRule="auto"/>
    </w:pPr>
    <w:rPr>
      <w:sz w:val="20"/>
      <w:szCs w:val="20"/>
    </w:rPr>
  </w:style>
  <w:style w:type="character" w:customStyle="1" w:styleId="CommentaireCar">
    <w:name w:val="Commentaire Car"/>
    <w:basedOn w:val="Policepardfaut"/>
    <w:link w:val="Commentaire"/>
    <w:uiPriority w:val="99"/>
    <w:semiHidden/>
    <w:rsid w:val="00CE2D12"/>
    <w:rPr>
      <w:sz w:val="20"/>
      <w:szCs w:val="20"/>
    </w:rPr>
  </w:style>
  <w:style w:type="paragraph" w:styleId="Notedebasdepage">
    <w:name w:val="footnote text"/>
    <w:basedOn w:val="Normal"/>
    <w:link w:val="NotedebasdepageCar"/>
    <w:uiPriority w:val="99"/>
    <w:semiHidden/>
    <w:unhideWhenUsed/>
    <w:rsid w:val="00CE2D1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E2D12"/>
    <w:rPr>
      <w:sz w:val="20"/>
      <w:szCs w:val="20"/>
    </w:rPr>
  </w:style>
  <w:style w:type="character" w:styleId="Appelnotedebasdep">
    <w:name w:val="footnote reference"/>
    <w:basedOn w:val="Policepardfaut"/>
    <w:uiPriority w:val="99"/>
    <w:semiHidden/>
    <w:unhideWhenUsed/>
    <w:rsid w:val="00CE2D12"/>
    <w:rPr>
      <w:vertAlign w:val="superscript"/>
    </w:rPr>
  </w:style>
  <w:style w:type="paragraph" w:styleId="Textedebulles">
    <w:name w:val="Balloon Text"/>
    <w:basedOn w:val="Normal"/>
    <w:link w:val="TextedebullesCar"/>
    <w:uiPriority w:val="99"/>
    <w:semiHidden/>
    <w:unhideWhenUsed/>
    <w:rsid w:val="00CE2D1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2D12"/>
    <w:rPr>
      <w:rFonts w:ascii="Segoe UI" w:hAnsi="Segoe UI" w:cs="Segoe UI"/>
      <w:sz w:val="18"/>
      <w:szCs w:val="18"/>
    </w:rPr>
  </w:style>
  <w:style w:type="character" w:styleId="Lienhypertextesuivivisit">
    <w:name w:val="FollowedHyperlink"/>
    <w:basedOn w:val="Policepardfaut"/>
    <w:uiPriority w:val="99"/>
    <w:semiHidden/>
    <w:unhideWhenUsed/>
    <w:rsid w:val="00CE2D12"/>
    <w:rPr>
      <w:color w:val="954F72" w:themeColor="followedHyperlink"/>
      <w:u w:val="single"/>
    </w:rPr>
  </w:style>
  <w:style w:type="character" w:customStyle="1" w:styleId="Mentionnonrsolue1">
    <w:name w:val="Mention non résolue1"/>
    <w:basedOn w:val="Policepardfaut"/>
    <w:uiPriority w:val="99"/>
    <w:semiHidden/>
    <w:unhideWhenUsed/>
    <w:rsid w:val="00145AA1"/>
    <w:rPr>
      <w:color w:val="605E5C"/>
      <w:shd w:val="clear" w:color="auto" w:fill="E1DFDD"/>
    </w:rPr>
  </w:style>
  <w:style w:type="paragraph" w:styleId="NormalWeb">
    <w:name w:val="Normal (Web)"/>
    <w:basedOn w:val="Normal"/>
    <w:uiPriority w:val="99"/>
    <w:semiHidden/>
    <w:unhideWhenUsed/>
    <w:rsid w:val="00535FC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M1">
    <w:name w:val="CM1"/>
    <w:basedOn w:val="Normal"/>
    <w:next w:val="Normal"/>
    <w:uiPriority w:val="99"/>
    <w:rsid w:val="009B14C3"/>
    <w:pPr>
      <w:autoSpaceDE w:val="0"/>
      <w:autoSpaceDN w:val="0"/>
      <w:adjustRightInd w:val="0"/>
      <w:spacing w:after="0" w:line="240" w:lineRule="auto"/>
    </w:pPr>
    <w:rPr>
      <w:rFonts w:ascii="EUAlbertina" w:hAnsi="EUAlbertina"/>
      <w:sz w:val="24"/>
      <w:szCs w:val="24"/>
      <w:lang w:val="en-US"/>
    </w:rPr>
  </w:style>
  <w:style w:type="paragraph" w:customStyle="1" w:styleId="CM3">
    <w:name w:val="CM3"/>
    <w:basedOn w:val="Normal"/>
    <w:next w:val="Normal"/>
    <w:uiPriority w:val="99"/>
    <w:rsid w:val="009B14C3"/>
    <w:pPr>
      <w:autoSpaceDE w:val="0"/>
      <w:autoSpaceDN w:val="0"/>
      <w:adjustRightInd w:val="0"/>
      <w:spacing w:after="0" w:line="240" w:lineRule="auto"/>
    </w:pPr>
    <w:rPr>
      <w:rFonts w:ascii="EUAlbertina" w:hAnsi="EUAlbertina"/>
      <w:sz w:val="24"/>
      <w:szCs w:val="24"/>
      <w:lang w:val="en-US"/>
    </w:rPr>
  </w:style>
  <w:style w:type="paragraph" w:styleId="Paragraphedeliste">
    <w:name w:val="List Paragraph"/>
    <w:basedOn w:val="Normal"/>
    <w:uiPriority w:val="34"/>
    <w:qFormat/>
    <w:rsid w:val="00473BC8"/>
    <w:pPr>
      <w:ind w:left="720"/>
      <w:contextualSpacing/>
    </w:pPr>
  </w:style>
  <w:style w:type="paragraph" w:styleId="Objetducommentaire">
    <w:name w:val="annotation subject"/>
    <w:basedOn w:val="Commentaire"/>
    <w:next w:val="Commentaire"/>
    <w:link w:val="ObjetducommentaireCar"/>
    <w:uiPriority w:val="99"/>
    <w:semiHidden/>
    <w:unhideWhenUsed/>
    <w:rsid w:val="00A54014"/>
    <w:rPr>
      <w:b/>
      <w:bCs/>
    </w:rPr>
  </w:style>
  <w:style w:type="character" w:customStyle="1" w:styleId="ObjetducommentaireCar">
    <w:name w:val="Objet du commentaire Car"/>
    <w:basedOn w:val="CommentaireCar"/>
    <w:link w:val="Objetducommentaire"/>
    <w:uiPriority w:val="99"/>
    <w:semiHidden/>
    <w:rsid w:val="00A54014"/>
    <w:rPr>
      <w:b/>
      <w:bCs/>
      <w:sz w:val="20"/>
      <w:szCs w:val="20"/>
    </w:rPr>
  </w:style>
  <w:style w:type="character" w:styleId="Mentionnonrsolue">
    <w:name w:val="Unresolved Mention"/>
    <w:basedOn w:val="Policepardfaut"/>
    <w:uiPriority w:val="99"/>
    <w:semiHidden/>
    <w:unhideWhenUsed/>
    <w:rsid w:val="00891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222836">
      <w:bodyDiv w:val="1"/>
      <w:marLeft w:val="0"/>
      <w:marRight w:val="0"/>
      <w:marTop w:val="0"/>
      <w:marBottom w:val="0"/>
      <w:divBdr>
        <w:top w:val="none" w:sz="0" w:space="0" w:color="auto"/>
        <w:left w:val="none" w:sz="0" w:space="0" w:color="auto"/>
        <w:bottom w:val="none" w:sz="0" w:space="0" w:color="auto"/>
        <w:right w:val="none" w:sz="0" w:space="0" w:color="auto"/>
      </w:divBdr>
      <w:divsChild>
        <w:div w:id="2007173288">
          <w:marLeft w:val="0"/>
          <w:marRight w:val="0"/>
          <w:marTop w:val="0"/>
          <w:marBottom w:val="150"/>
          <w:divBdr>
            <w:top w:val="none" w:sz="0" w:space="0" w:color="auto"/>
            <w:left w:val="none" w:sz="0" w:space="0" w:color="auto"/>
            <w:bottom w:val="none" w:sz="0" w:space="0" w:color="auto"/>
            <w:right w:val="none" w:sz="0" w:space="0" w:color="auto"/>
          </w:divBdr>
        </w:div>
        <w:div w:id="696274516">
          <w:marLeft w:val="0"/>
          <w:marRight w:val="0"/>
          <w:marTop w:val="150"/>
          <w:marBottom w:val="0"/>
          <w:divBdr>
            <w:top w:val="none" w:sz="0" w:space="0" w:color="auto"/>
            <w:left w:val="none" w:sz="0" w:space="0" w:color="auto"/>
            <w:bottom w:val="none" w:sz="0" w:space="0" w:color="auto"/>
            <w:right w:val="none" w:sz="0" w:space="0" w:color="auto"/>
          </w:divBdr>
        </w:div>
      </w:divsChild>
    </w:div>
    <w:div w:id="532115089">
      <w:bodyDiv w:val="1"/>
      <w:marLeft w:val="0"/>
      <w:marRight w:val="0"/>
      <w:marTop w:val="0"/>
      <w:marBottom w:val="0"/>
      <w:divBdr>
        <w:top w:val="none" w:sz="0" w:space="0" w:color="auto"/>
        <w:left w:val="none" w:sz="0" w:space="0" w:color="auto"/>
        <w:bottom w:val="none" w:sz="0" w:space="0" w:color="auto"/>
        <w:right w:val="none" w:sz="0" w:space="0" w:color="auto"/>
      </w:divBdr>
    </w:div>
    <w:div w:id="1050614153">
      <w:bodyDiv w:val="1"/>
      <w:marLeft w:val="0"/>
      <w:marRight w:val="0"/>
      <w:marTop w:val="0"/>
      <w:marBottom w:val="0"/>
      <w:divBdr>
        <w:top w:val="none" w:sz="0" w:space="0" w:color="auto"/>
        <w:left w:val="none" w:sz="0" w:space="0" w:color="auto"/>
        <w:bottom w:val="none" w:sz="0" w:space="0" w:color="auto"/>
        <w:right w:val="none" w:sz="0" w:space="0" w:color="auto"/>
      </w:divBdr>
    </w:div>
    <w:div w:id="1972443709">
      <w:bodyDiv w:val="1"/>
      <w:marLeft w:val="0"/>
      <w:marRight w:val="0"/>
      <w:marTop w:val="0"/>
      <w:marBottom w:val="0"/>
      <w:divBdr>
        <w:top w:val="none" w:sz="0" w:space="0" w:color="auto"/>
        <w:left w:val="none" w:sz="0" w:space="0" w:color="auto"/>
        <w:bottom w:val="none" w:sz="0" w:space="0" w:color="auto"/>
        <w:right w:val="none" w:sz="0" w:space="0" w:color="auto"/>
      </w:divBdr>
      <w:divsChild>
        <w:div w:id="25121046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cngtc.fr/pdf/telechargement/188-RAcng_2018BAT2def.pdf" TargetMode="External"/><Relationship Id="rId13" Type="http://schemas.openxmlformats.org/officeDocument/2006/relationships/hyperlink" Target="ttps://www.icij.org" TargetMode="External"/><Relationship Id="rId18" Type="http://schemas.openxmlformats.org/officeDocument/2006/relationships/hyperlink" Target="https://www.legifrance.gouv.fr/affichTexte.do?cidTexte=JORFTEXT000041566891&amp;categorieLien=id" TargetMode="External"/><Relationship Id="rId3" Type="http://schemas.openxmlformats.org/officeDocument/2006/relationships/hyperlink" Target="https://eur-lex.europa.eu/legal-content/FR/TXT/PDF/?uri=CELEX:32018L0843&amp;from=EN" TargetMode="External"/><Relationship Id="rId7" Type="http://schemas.openxmlformats.org/officeDocument/2006/relationships/hyperlink" Target="https://www.cngtc.fr/pdf/telechargement/203-Actes_2019-BAT.pdf" TargetMode="External"/><Relationship Id="rId12" Type="http://schemas.openxmlformats.org/officeDocument/2006/relationships/hyperlink" Target="https://www.legifrance.gouv.fr/affichTexte.do?cidTexte=JORFTEXT000041566891&amp;categorieLien=id" TargetMode="External"/><Relationship Id="rId17" Type="http://schemas.openxmlformats.org/officeDocument/2006/relationships/hyperlink" Target="https://www.infogreffe.fr/rbe" TargetMode="External"/><Relationship Id="rId2" Type="http://schemas.openxmlformats.org/officeDocument/2006/relationships/hyperlink" Target="https://eur-lex.europa.eu/legal-content/FR/TXT/PDF/?uri=CELEX:32015L0849&amp;from=EN" TargetMode="External"/><Relationship Id="rId16" Type="http://schemas.openxmlformats.org/officeDocument/2006/relationships/hyperlink" Target="https://www.legifrance.gouv.fr/affichTexte.do?cidTexte=JORFTEXT000041566891&amp;categorieLien=id" TargetMode="External"/><Relationship Id="rId1" Type="http://schemas.openxmlformats.org/officeDocument/2006/relationships/hyperlink" Target="https://www.legifrance.gouv.fr/affichCodeArticle.do;jsessionid=F56C11171A6D2C95F17256836D063A41.tplgfr30s_3?idArticle=LEGIARTI000033517537&amp;cidTexte=LEGITEXT000006072026&amp;dateTexte=20161203&amp;categorieLien=id&amp;oldAction=" TargetMode="External"/><Relationship Id="rId6" Type="http://schemas.openxmlformats.org/officeDocument/2006/relationships/hyperlink" Target="https://www.legifrance.gouv.fr/affichCodeArticle.do?idArticle=LEGIARTI000038613516&amp;cidTexte=LEGITEXT000006072026&amp;dateTexte=20190524" TargetMode="External"/><Relationship Id="rId11" Type="http://schemas.openxmlformats.org/officeDocument/2006/relationships/hyperlink" Target="https://www.economie.gouv.fr/files/web_raa_tracfin-2018.pdf" TargetMode="External"/><Relationship Id="rId5" Type="http://schemas.openxmlformats.org/officeDocument/2006/relationships/hyperlink" Target="https://www.legifrance.gouv.fr/affichCodeArticle.do?cidTexte=LEGITEXT000006072026&amp;idArticle=LEGIARTI000033512997&amp;dateTexte=&amp;categorieLien=cid" TargetMode="External"/><Relationship Id="rId15" Type="http://schemas.openxmlformats.org/officeDocument/2006/relationships/hyperlink" Target="https://www.globalwitness.org/en/campaigns/corruption-and-money-laundering/anonymous-company-owners/5amld-patchy-progress/?utm_source=hootsuite&amp;utm_medium=twitter_" TargetMode="External"/><Relationship Id="rId10" Type="http://schemas.openxmlformats.org/officeDocument/2006/relationships/hyperlink" Target="https://www.legifrance.gouv.fr/affichCodeArticle.do?cidTexte=LEGITEXT000006072026&amp;idArticle=LEGIARTI000033512785&amp;dateTexte=&amp;categorieLien=cid" TargetMode="External"/><Relationship Id="rId19" Type="http://schemas.openxmlformats.org/officeDocument/2006/relationships/hyperlink" Target="https://www.integritywatch.fr/" TargetMode="External"/><Relationship Id="rId4" Type="http://schemas.openxmlformats.org/officeDocument/2006/relationships/hyperlink" Target="https://eur-lex.europa.eu/legal-content/FR/TXT/PDF/?uri=CELEX:32018L0843&amp;from=EN" TargetMode="External"/><Relationship Id="rId9" Type="http://schemas.openxmlformats.org/officeDocument/2006/relationships/hyperlink" Target="https://www.legifrance.gouv.fr/affichCodeArticle.do?cidTexte=LEGITEXT000006072026&amp;idArticle=LEGIARTI000020179037&amp;dateTexte=&amp;categorieLien=cid" TargetMode="External"/><Relationship Id="rId14" Type="http://schemas.openxmlformats.org/officeDocument/2006/relationships/hyperlink" Target="https://www.globalwitness.org/en/campaigns/corruption-and-money-laundering/anonymous-company-owners/getting-uks-house-ord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8523AF85F836448AC9FC4A9A37EC6C" ma:contentTypeVersion="13" ma:contentTypeDescription="Crée un document." ma:contentTypeScope="" ma:versionID="78ea52b0be17c3bea54174eaccc9696d">
  <xsd:schema xmlns:xsd="http://www.w3.org/2001/XMLSchema" xmlns:xs="http://www.w3.org/2001/XMLSchema" xmlns:p="http://schemas.microsoft.com/office/2006/metadata/properties" xmlns:ns2="5e66408e-7cb2-40b5-9ee7-0dd8435032cb" xmlns:ns3="83e95a3d-d3e3-4ab9-adc5-9b5c6d140667" targetNamespace="http://schemas.microsoft.com/office/2006/metadata/properties" ma:root="true" ma:fieldsID="2d48726af7e8ec94b2873ee21d4fc033" ns2:_="" ns3:_="">
    <xsd:import namespace="5e66408e-7cb2-40b5-9ee7-0dd8435032cb"/>
    <xsd:import namespace="83e95a3d-d3e3-4ab9-adc5-9b5c6d1406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6408e-7cb2-40b5-9ee7-0dd843503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e95a3d-d3e3-4ab9-adc5-9b5c6d14066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9FBE5-2C53-415E-A047-8C5EB3C7F8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47DF6F-E167-4FBB-A016-49F33427ACF5}">
  <ds:schemaRefs>
    <ds:schemaRef ds:uri="http://schemas.microsoft.com/sharepoint/v3/contenttype/forms"/>
  </ds:schemaRefs>
</ds:datastoreItem>
</file>

<file path=customXml/itemProps3.xml><?xml version="1.0" encoding="utf-8"?>
<ds:datastoreItem xmlns:ds="http://schemas.openxmlformats.org/officeDocument/2006/customXml" ds:itemID="{EC482B48-1B6A-49B3-AC32-D74D46591090}"/>
</file>

<file path=customXml/itemProps4.xml><?xml version="1.0" encoding="utf-8"?>
<ds:datastoreItem xmlns:ds="http://schemas.openxmlformats.org/officeDocument/2006/customXml" ds:itemID="{8C4ED065-7097-4D27-AC9B-90F80E1B0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1494</Words>
  <Characters>8221</Characters>
  <Application>Microsoft Office Word</Application>
  <DocSecurity>0</DocSecurity>
  <Lines>68</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Brimbeuf</dc:creator>
  <cp:keywords/>
  <dc:description/>
  <cp:lastModifiedBy>Sara Brimbeuf</cp:lastModifiedBy>
  <cp:revision>5</cp:revision>
  <dcterms:created xsi:type="dcterms:W3CDTF">2020-04-08T13:47:00Z</dcterms:created>
  <dcterms:modified xsi:type="dcterms:W3CDTF">2020-09-25T15:34:00Z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0x010100B88523AF85F836448AC9FC4A9A37EC6C</vt:lpwstr>
  </property>
</Properties>
</file>