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BEE6" w14:textId="7743C43C" w:rsidR="00AE44F3" w:rsidRDefault="00CD5018" w:rsidP="00747B87">
      <w:pPr>
        <w:pStyle w:val="Titre"/>
        <w:pBdr>
          <w:top w:val="single" w:sz="4" w:space="1" w:color="auto"/>
          <w:left w:val="single" w:sz="4" w:space="4" w:color="auto"/>
          <w:bottom w:val="single" w:sz="4" w:space="1" w:color="auto"/>
          <w:right w:val="single" w:sz="4" w:space="4" w:color="auto"/>
        </w:pBdr>
        <w:jc w:val="center"/>
      </w:pPr>
      <w:r>
        <w:t>La prévention de la corruption dans les</w:t>
      </w:r>
      <w:r w:rsidR="00747B87">
        <w:t xml:space="preserve"> o</w:t>
      </w:r>
      <w:r w:rsidR="00747B87" w:rsidRPr="00747B87">
        <w:t>pérations de parrainage et de mécénat des entreprises</w:t>
      </w:r>
    </w:p>
    <w:p w14:paraId="5BED7F77" w14:textId="71FCAFF6" w:rsidR="00747B87" w:rsidRDefault="00747B87" w:rsidP="004A2D9B">
      <w:pPr>
        <w:pStyle w:val="Sous-titre"/>
        <w:jc w:val="center"/>
      </w:pPr>
      <w:r>
        <w:t>Contribution de Transparency International France à la consultation publique</w:t>
      </w:r>
      <w:r w:rsidR="00CD5018">
        <w:t xml:space="preserve"> de l’AFA sur son projet de guide</w:t>
      </w:r>
    </w:p>
    <w:p w14:paraId="75DBC0A3" w14:textId="77777777" w:rsidR="004A2D9B" w:rsidRPr="004A2D9B" w:rsidRDefault="004A2D9B" w:rsidP="004A2D9B"/>
    <w:p w14:paraId="2D90410E" w14:textId="0CAC2077" w:rsidR="00CD2353" w:rsidRDefault="00747B87" w:rsidP="00747B87">
      <w:pPr>
        <w:jc w:val="both"/>
      </w:pPr>
      <w:r w:rsidRPr="004A2D9B">
        <w:t>Transparency France</w:t>
      </w:r>
      <w:r w:rsidR="00681711">
        <w:t xml:space="preserve"> salue l’exercice réalisé par l’AFA avec ce guide qui s’inscrit pleinement dans ses missions d’accompagnement.</w:t>
      </w:r>
      <w:r w:rsidR="00AE44F3" w:rsidRPr="004A2D9B">
        <w:t xml:space="preserve"> Le mécénat et </w:t>
      </w:r>
      <w:r w:rsidR="007D612B">
        <w:t xml:space="preserve">le </w:t>
      </w:r>
      <w:r w:rsidR="00AE44F3" w:rsidRPr="004A2D9B">
        <w:t xml:space="preserve">parrainage sont </w:t>
      </w:r>
      <w:r w:rsidR="007D612B">
        <w:t>soumis à des</w:t>
      </w:r>
      <w:r w:rsidR="00AE44F3" w:rsidRPr="004A2D9B">
        <w:t xml:space="preserve"> risque</w:t>
      </w:r>
      <w:r w:rsidR="007D612B">
        <w:t>s</w:t>
      </w:r>
      <w:r w:rsidR="00AE44F3" w:rsidRPr="004A2D9B">
        <w:t xml:space="preserve"> de corruption qui doivent être traités avec attention</w:t>
      </w:r>
      <w:r w:rsidR="00681711">
        <w:t xml:space="preserve">, d’autant plus à l’approche des JO de Paris 2024 et compte-tenu des condamnations pour corruption qui ont déjà été prononcées suite à l’attribution frauduleuse de contrats de sponsoring </w:t>
      </w:r>
      <w:r w:rsidR="007D612B">
        <w:t>lors des</w:t>
      </w:r>
      <w:r w:rsidR="00681711">
        <w:t xml:space="preserve"> JO de Tokyo en 2020.</w:t>
      </w:r>
    </w:p>
    <w:p w14:paraId="7202694F" w14:textId="44E2C20B" w:rsidR="00CD2353" w:rsidRDefault="00CD2353" w:rsidP="00747B87">
      <w:pPr>
        <w:jc w:val="both"/>
      </w:pPr>
      <w:r>
        <w:t xml:space="preserve">Sachant que les acteurs publics, collectivités territoriales ou établissements publics notamment, ont parfois recours à du mécénat/parrainage pour financer leurs projets, et vu les risques spécifiques que cela peut susciter, il </w:t>
      </w:r>
      <w:r w:rsidR="00CD5018">
        <w:t xml:space="preserve">serait utile que l’AFA complète ce guide à destination des entreprises par un guide </w:t>
      </w:r>
      <w:r w:rsidR="007D612B">
        <w:t xml:space="preserve">sur le mécénat/ parrainage </w:t>
      </w:r>
      <w:r w:rsidR="00CD5018">
        <w:t>à destination des a</w:t>
      </w:r>
      <w:r w:rsidR="005E1F11">
        <w:t>dministrations publiques</w:t>
      </w:r>
      <w:r w:rsidR="007D612B">
        <w:t xml:space="preserve"> ou qu’elle détaille ce risque évoqué brièvement dans ses lignes directrices.</w:t>
      </w:r>
    </w:p>
    <w:p w14:paraId="2B47BB97" w14:textId="576F351D" w:rsidR="00554209" w:rsidRDefault="00554209" w:rsidP="00747B87">
      <w:pPr>
        <w:jc w:val="both"/>
      </w:pPr>
      <w:r>
        <w:t>Par ailleurs, afin de mieux faire comprendre au grand public les avantages afférents aux deux régimes fiscaux du mécénat et du parrainage, il serait préférable d’en faire une présentation unifiée en fusionnant les § 1.1.2 et 2.1.2 au début du guide</w:t>
      </w:r>
      <w:r w:rsidR="00EA2CAE">
        <w:t xml:space="preserve"> et d’en rappeler le coût : 900 M€ en 2018 selon la Cour des comptes pour la dépense fiscale </w:t>
      </w:r>
      <w:r w:rsidR="005811C9">
        <w:t xml:space="preserve">de mécénat </w:t>
      </w:r>
      <w:r w:rsidR="00EA2CAE">
        <w:t>au titre de l’article 238 du code général des impôts sans objectif spécifique de contrôle. A cet égard il pourrait être fait référence à l’annexe 14 du rapport de la Cour des comptes sur le mécénat d’entreprise</w:t>
      </w:r>
      <w:r w:rsidR="005811C9">
        <w:rPr>
          <w:rStyle w:val="Appelnotedebasdep"/>
        </w:rPr>
        <w:footnoteReference w:id="1"/>
      </w:r>
      <w:r w:rsidR="00EA2CAE">
        <w:t xml:space="preserve"> qui </w:t>
      </w:r>
      <w:r w:rsidR="005D0D50">
        <w:t xml:space="preserve">simule la charge nette </w:t>
      </w:r>
      <w:r w:rsidR="00C74C3A">
        <w:t>d’impôt sur les sociétés</w:t>
      </w:r>
      <w:r w:rsidR="005D0D50">
        <w:t xml:space="preserve"> pour les PME qui bénéficient du taux réduit à 15% et les autres entreprises soumises au taux normal. Cette dépense fiscale importante requiert un contrôle spécifique et justifie pleinement les actions de prévention et de détection des risques d’atteinte à la probité. </w:t>
      </w:r>
    </w:p>
    <w:p w14:paraId="4D3EE210" w14:textId="023BFF66" w:rsidR="00747B87" w:rsidRPr="004A2D9B" w:rsidRDefault="00AE44F3" w:rsidP="00747B87">
      <w:pPr>
        <w:jc w:val="both"/>
      </w:pPr>
      <w:r w:rsidRPr="004A2D9B">
        <w:t>Pour aller plus loin</w:t>
      </w:r>
      <w:r w:rsidR="00CD5018">
        <w:t xml:space="preserve"> dans l’encadrement du mécénat/parrainage</w:t>
      </w:r>
      <w:r w:rsidRPr="004A2D9B">
        <w:t xml:space="preserve">, Transparency France défend deux propositions qui pourraient être reprises par l’AFA </w:t>
      </w:r>
      <w:r w:rsidR="004A2D9B">
        <w:t>dans son guide</w:t>
      </w:r>
      <w:r w:rsidR="00CD5018">
        <w:t>, ou par le législateur</w:t>
      </w:r>
      <w:r w:rsidR="004A2D9B">
        <w:t xml:space="preserve"> </w:t>
      </w:r>
      <w:r w:rsidRPr="004A2D9B">
        <w:t>:</w:t>
      </w:r>
    </w:p>
    <w:p w14:paraId="5D0106A7" w14:textId="47B4A666" w:rsidR="00AE44F3" w:rsidRPr="004A2D9B" w:rsidRDefault="00AE44F3" w:rsidP="004A2D9B">
      <w:pPr>
        <w:pStyle w:val="Titre2"/>
        <w:numPr>
          <w:ilvl w:val="0"/>
          <w:numId w:val="2"/>
        </w:numPr>
        <w:jc w:val="center"/>
        <w:rPr>
          <w:b/>
          <w:bCs/>
        </w:rPr>
      </w:pPr>
      <w:r w:rsidRPr="004A2D9B">
        <w:rPr>
          <w:b/>
          <w:bCs/>
        </w:rPr>
        <w:t xml:space="preserve">Interdire aux entreprises titulaires de marchés publics de </w:t>
      </w:r>
      <w:r w:rsidR="005E1F11">
        <w:rPr>
          <w:b/>
          <w:bCs/>
        </w:rPr>
        <w:t xml:space="preserve">faire des actions de mécénat ou de parrainage en faveur des </w:t>
      </w:r>
      <w:r w:rsidR="00402233" w:rsidRPr="004A2D9B">
        <w:rPr>
          <w:b/>
          <w:bCs/>
        </w:rPr>
        <w:t>organisations publiques avec lesquelles elles contractent</w:t>
      </w:r>
    </w:p>
    <w:p w14:paraId="3613A73C" w14:textId="77777777" w:rsidR="004A2D9B" w:rsidRPr="004A2D9B" w:rsidRDefault="004A2D9B" w:rsidP="004A2D9B"/>
    <w:p w14:paraId="585207B7" w14:textId="03EA6339" w:rsidR="00402233" w:rsidRDefault="00402233" w:rsidP="00747B87">
      <w:pPr>
        <w:jc w:val="both"/>
      </w:pPr>
      <w:r>
        <w:t>Le projet de guide l’AFA comporte de</w:t>
      </w:r>
      <w:r w:rsidR="004A2D9B">
        <w:t xml:space="preserve">s </w:t>
      </w:r>
      <w:r>
        <w:t>exemples fictifs ou réels de cas de corruption liés au mécénat/parrainage</w:t>
      </w:r>
      <w:r w:rsidR="004A2D9B">
        <w:t xml:space="preserve"> qui s’avèrent très utiles</w:t>
      </w:r>
      <w:r>
        <w:t>. La plupart d’entre</w:t>
      </w:r>
      <w:r w:rsidR="004A2D9B">
        <w:t xml:space="preserve"> </w:t>
      </w:r>
      <w:r>
        <w:t xml:space="preserve">eux portent sur des cas où le parrainage/mécénat n’est pas accordé directement à un organisme public, mais plutôt à un organisme privé lié à un organisme public via une personne intermédiaire qui sert de vecteur au délit d’atteinte à </w:t>
      </w:r>
      <w:r>
        <w:lastRenderedPageBreak/>
        <w:t xml:space="preserve">la probité. Quelques exemples mentionnent néanmoins des cas de délit d’atteinte à la probité où le parrainage/mécénat bénéficie directement </w:t>
      </w:r>
      <w:r w:rsidR="004A2D9B">
        <w:t>au</w:t>
      </w:r>
      <w:r>
        <w:t xml:space="preserve"> projet d’un organisme public (</w:t>
      </w:r>
      <w:r w:rsidRPr="00B3252F">
        <w:rPr>
          <w:i/>
          <w:iCs/>
        </w:rPr>
        <w:t>paragraphes 48 et 52</w:t>
      </w:r>
      <w:r>
        <w:t>).</w:t>
      </w:r>
    </w:p>
    <w:p w14:paraId="1A5F86EC" w14:textId="78606700" w:rsidR="00402233" w:rsidRDefault="00402233" w:rsidP="00747B87">
      <w:pPr>
        <w:jc w:val="both"/>
      </w:pPr>
      <w:r>
        <w:t xml:space="preserve">Ces exemples illustrent </w:t>
      </w:r>
      <w:r w:rsidR="004A2D9B">
        <w:t>un risque plus large</w:t>
      </w:r>
      <w:r>
        <w:t xml:space="preserve"> qu’il est difficile de quantifier en l’absence de données exhaustives : les entreprises opérant dans un domaine d’activité </w:t>
      </w:r>
      <w:r w:rsidR="004A2D9B">
        <w:t xml:space="preserve">économiquement </w:t>
      </w:r>
      <w:r>
        <w:t>dépendant de la commande publique</w:t>
      </w:r>
      <w:r w:rsidR="004A2D9B">
        <w:t xml:space="preserve"> </w:t>
      </w:r>
      <w:r w:rsidR="00B3252F">
        <w:t xml:space="preserve">peuvent </w:t>
      </w:r>
      <w:r>
        <w:t xml:space="preserve">avoir intérêt à </w:t>
      </w:r>
      <w:r w:rsidR="005E1F11">
        <w:t xml:space="preserve">développer des actions de mécénat ou de parrainage auprès des </w:t>
      </w:r>
      <w:r w:rsidR="00B3252F">
        <w:t>pouvoirs adjudicateurs</w:t>
      </w:r>
      <w:r w:rsidR="004A2D9B">
        <w:t xml:space="preserve"> afin de remporter des marchés publics.</w:t>
      </w:r>
      <w:r w:rsidR="00B3252F">
        <w:t xml:space="preserve"> </w:t>
      </w:r>
      <w:r>
        <w:t xml:space="preserve"> </w:t>
      </w:r>
    </w:p>
    <w:p w14:paraId="763EE6F9" w14:textId="6472A841" w:rsidR="00B3252F" w:rsidRDefault="00B3252F" w:rsidP="00747B87">
      <w:pPr>
        <w:jc w:val="both"/>
      </w:pPr>
      <w:r>
        <w:t>Ce risque n’a pas échappé au guide de l’AFA, et fait l’objet d’encadrés spécifiques (</w:t>
      </w:r>
      <w:r w:rsidRPr="00B3252F">
        <w:rPr>
          <w:i/>
          <w:iCs/>
        </w:rPr>
        <w:t>paragraphes 84 à 90 et 189 à 192</w:t>
      </w:r>
      <w:r>
        <w:t>). Il y est rappelé notamment que la loi n’interdit pas cette situation</w:t>
      </w:r>
      <w:r>
        <w:rPr>
          <w:rStyle w:val="Appelnotedebasdep"/>
        </w:rPr>
        <w:footnoteReference w:id="2"/>
      </w:r>
      <w:r>
        <w:t xml:space="preserve"> mais que celle-ci suscite un risque important</w:t>
      </w:r>
      <w:r>
        <w:rPr>
          <w:rStyle w:val="Appelnotedebasdep"/>
        </w:rPr>
        <w:footnoteReference w:id="3"/>
      </w:r>
      <w:r w:rsidRPr="00B3252F">
        <w:t>.</w:t>
      </w:r>
      <w:r w:rsidR="005E16D8">
        <w:t xml:space="preserve"> Si la mise en œuvre des recommandations de l’AFA par les entreprises et les collectivités territoriales peut permettre de limiter le risque que l’octroi d’un marché public soit conditionné à celui d’un parrainage/mécénat, il subsistera toujours un doute sur l’existence éventuelle de ce lien lorsqu’une entreprise contractante est également parrain/mécène</w:t>
      </w:r>
      <w:r w:rsidR="004A2D9B">
        <w:t xml:space="preserve"> de son pouvoir adjudicateur.</w:t>
      </w:r>
    </w:p>
    <w:p w14:paraId="0514B38A" w14:textId="1DADBD0D" w:rsidR="005E16D8" w:rsidRDefault="005E16D8" w:rsidP="00747B87">
      <w:pPr>
        <w:jc w:val="both"/>
      </w:pPr>
      <w:r>
        <w:t xml:space="preserve">Transparency France propose donc d’interdire aux entreprises de parrainer/mécéner un pouvoir adjudicateur, ou tout du moins </w:t>
      </w:r>
      <w:r w:rsidR="005E1F11">
        <w:t>d’</w:t>
      </w:r>
      <w:r>
        <w:t xml:space="preserve">inciter fortement les collectivités territoriales et entreprises à limiter ce type de situation. </w:t>
      </w:r>
    </w:p>
    <w:p w14:paraId="5F49A121" w14:textId="2D1E6E8C" w:rsidR="00AE44F3" w:rsidRPr="004A2D9B" w:rsidRDefault="00AE44F3" w:rsidP="004A2D9B">
      <w:pPr>
        <w:pStyle w:val="Titre2"/>
        <w:numPr>
          <w:ilvl w:val="0"/>
          <w:numId w:val="2"/>
        </w:numPr>
        <w:jc w:val="center"/>
        <w:rPr>
          <w:b/>
          <w:bCs/>
        </w:rPr>
      </w:pPr>
      <w:r w:rsidRPr="004A2D9B">
        <w:rPr>
          <w:b/>
          <w:bCs/>
        </w:rPr>
        <w:t>Assurer une publication régulière, dans un format « open data », des financements de mécénat/parrainage</w:t>
      </w:r>
    </w:p>
    <w:p w14:paraId="6D1C54A9" w14:textId="77777777" w:rsidR="00747B87" w:rsidRDefault="00747B87" w:rsidP="00747B87">
      <w:pPr>
        <w:jc w:val="both"/>
      </w:pPr>
    </w:p>
    <w:p w14:paraId="6821C503" w14:textId="67E17AF4" w:rsidR="005E16D8" w:rsidRPr="00AF5B0F" w:rsidRDefault="00AF5B0F" w:rsidP="00747B87">
      <w:pPr>
        <w:jc w:val="both"/>
      </w:pPr>
      <w:r>
        <w:t xml:space="preserve">Dans </w:t>
      </w:r>
      <w:r w:rsidR="004A2D9B">
        <w:t>son</w:t>
      </w:r>
      <w:r>
        <w:t xml:space="preserve"> projet de guide, l’AFA recommande aux entreprises d’isoler dans leur comptabilité les opérations de mécéna</w:t>
      </w:r>
      <w:r w:rsidR="004A2D9B">
        <w:t>t</w:t>
      </w:r>
      <w:r>
        <w:t>/parrainage (</w:t>
      </w:r>
      <w:r>
        <w:rPr>
          <w:i/>
          <w:iCs/>
        </w:rPr>
        <w:t>paragraphe 279).</w:t>
      </w:r>
      <w:r>
        <w:t xml:space="preserve"> Compte-tenu des risques de corruption associés à ces opérations, et des enjeux démocratiques </w:t>
      </w:r>
      <w:r w:rsidR="00083006">
        <w:t>soulevés</w:t>
      </w:r>
      <w:r>
        <w:t xml:space="preserve"> puisque ces financements ouvrent droit à une déduction fiscale et donc à un financement public indirect, Transparency France recommande </w:t>
      </w:r>
      <w:r w:rsidR="005E1F11">
        <w:t>que les</w:t>
      </w:r>
      <w:r>
        <w:t xml:space="preserve"> entreprises </w:t>
      </w:r>
      <w:r w:rsidR="005E1F11">
        <w:t xml:space="preserve">soient encouragées à </w:t>
      </w:r>
      <w:r>
        <w:t>faire la transparence</w:t>
      </w:r>
      <w:r w:rsidR="005E1F11">
        <w:t xml:space="preserve"> sur</w:t>
      </w:r>
      <w:r>
        <w:t xml:space="preserve"> </w:t>
      </w:r>
      <w:r w:rsidR="00CD5018">
        <w:t xml:space="preserve">les </w:t>
      </w:r>
      <w:r>
        <w:t>financements de mécénat/parrainage</w:t>
      </w:r>
      <w:r w:rsidR="00CD5018">
        <w:t xml:space="preserve"> qu’elles attribuent</w:t>
      </w:r>
      <w:r w:rsidR="005E1F11">
        <w:t xml:space="preserve">. De même </w:t>
      </w:r>
      <w:r w:rsidR="00CD5018">
        <w:t xml:space="preserve">les organismes publics pourraient également publier les financements dont ils bénéficient à ce titre </w:t>
      </w:r>
      <w:r>
        <w:t>. Cette transparence pourrait prendre la forme d’un bilan annuel publié dans un format « open data » mentionnant : le destinataire du financement, son montant, sa date et un bref descriptif du projet financé.</w:t>
      </w:r>
      <w:r w:rsidR="00747B87">
        <w:t xml:space="preserve"> Cette transparence pourrait également être opérée par les acteurs publics qui sollicitent des financements de mécénat</w:t>
      </w:r>
      <w:r w:rsidR="00083006">
        <w:t>/</w:t>
      </w:r>
      <w:r w:rsidR="00747B87">
        <w:t>parrainage.</w:t>
      </w:r>
    </w:p>
    <w:sectPr w:rsidR="005E16D8" w:rsidRPr="00AF5B0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0A1A" w14:textId="77777777" w:rsidR="008F1FBB" w:rsidRDefault="008F1FBB" w:rsidP="00B3252F">
      <w:pPr>
        <w:spacing w:after="0" w:line="240" w:lineRule="auto"/>
      </w:pPr>
      <w:r>
        <w:separator/>
      </w:r>
    </w:p>
  </w:endnote>
  <w:endnote w:type="continuationSeparator" w:id="0">
    <w:p w14:paraId="7459D5B1" w14:textId="77777777" w:rsidR="008F1FBB" w:rsidRDefault="008F1FBB" w:rsidP="00B3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92907"/>
      <w:docPartObj>
        <w:docPartGallery w:val="Page Numbers (Bottom of Page)"/>
        <w:docPartUnique/>
      </w:docPartObj>
    </w:sdtPr>
    <w:sdtEndPr/>
    <w:sdtContent>
      <w:p w14:paraId="7441B3EC" w14:textId="77777777" w:rsidR="00083006" w:rsidRDefault="00083006">
        <w:pPr>
          <w:pStyle w:val="Pieddepage"/>
          <w:jc w:val="right"/>
        </w:pPr>
      </w:p>
      <w:p w14:paraId="184A864D" w14:textId="188FAEC6" w:rsidR="00747B87" w:rsidRDefault="00747B87">
        <w:pPr>
          <w:pStyle w:val="Pieddepage"/>
          <w:jc w:val="right"/>
        </w:pPr>
        <w:r>
          <w:fldChar w:fldCharType="begin"/>
        </w:r>
        <w:r>
          <w:instrText>PAGE   \* MERGEFORMAT</w:instrText>
        </w:r>
        <w:r>
          <w:fldChar w:fldCharType="separate"/>
        </w:r>
        <w:r>
          <w:t>2</w:t>
        </w:r>
        <w:r>
          <w:fldChar w:fldCharType="end"/>
        </w:r>
        <w:r>
          <w:t>/2</w:t>
        </w:r>
      </w:p>
    </w:sdtContent>
  </w:sdt>
  <w:p w14:paraId="76A53E57" w14:textId="3EAF40EB" w:rsidR="00747B87" w:rsidRDefault="00083006" w:rsidP="00083006">
    <w:pPr>
      <w:pStyle w:val="Pieddepage"/>
      <w:jc w:val="center"/>
    </w:pPr>
    <w:r>
      <w:t>25/08/2023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ED0A" w14:textId="77777777" w:rsidR="008F1FBB" w:rsidRDefault="008F1FBB" w:rsidP="00B3252F">
      <w:pPr>
        <w:spacing w:after="0" w:line="240" w:lineRule="auto"/>
      </w:pPr>
      <w:r>
        <w:separator/>
      </w:r>
    </w:p>
  </w:footnote>
  <w:footnote w:type="continuationSeparator" w:id="0">
    <w:p w14:paraId="4F4D28A3" w14:textId="77777777" w:rsidR="008F1FBB" w:rsidRDefault="008F1FBB" w:rsidP="00B3252F">
      <w:pPr>
        <w:spacing w:after="0" w:line="240" w:lineRule="auto"/>
      </w:pPr>
      <w:r>
        <w:continuationSeparator/>
      </w:r>
    </w:p>
  </w:footnote>
  <w:footnote w:id="1">
    <w:p w14:paraId="2507E096" w14:textId="0A5B0D88" w:rsidR="005811C9" w:rsidRDefault="005811C9">
      <w:pPr>
        <w:pStyle w:val="Notedebasdepage"/>
      </w:pPr>
      <w:r>
        <w:rPr>
          <w:rStyle w:val="Appelnotedebasdep"/>
        </w:rPr>
        <w:footnoteRef/>
      </w:r>
      <w:r>
        <w:t xml:space="preserve"> Cf. </w:t>
      </w:r>
      <w:hyperlink r:id="rId1" w:history="1">
        <w:r>
          <w:rPr>
            <w:rStyle w:val="Lienhypertexte"/>
          </w:rPr>
          <w:t>Rapport - Le soutien public au mécénat des entreprises (ccomptes.fr)</w:t>
        </w:r>
      </w:hyperlink>
    </w:p>
  </w:footnote>
  <w:footnote w:id="2">
    <w:p w14:paraId="5FBA5F49" w14:textId="4CCE6DD6" w:rsidR="00B3252F" w:rsidRDefault="00B3252F">
      <w:pPr>
        <w:pStyle w:val="Notedebasdepage"/>
      </w:pPr>
      <w:r>
        <w:rPr>
          <w:rStyle w:val="Appelnotedebasdep"/>
        </w:rPr>
        <w:footnoteRef/>
      </w:r>
      <w:r>
        <w:t xml:space="preserve"> « </w:t>
      </w:r>
      <w:r>
        <w:rPr>
          <w:i/>
          <w:iCs/>
        </w:rPr>
        <w:t>U</w:t>
      </w:r>
      <w:r w:rsidRPr="00B3252F">
        <w:rPr>
          <w:i/>
          <w:iCs/>
        </w:rPr>
        <w:t>ne entreprise peut être à la fois parraineur et fournisseur ou prestataire d’une administration ou d’un établissement public</w:t>
      </w:r>
      <w:r>
        <w:rPr>
          <w:i/>
          <w:iCs/>
        </w:rPr>
        <w:t> »</w:t>
      </w:r>
    </w:p>
  </w:footnote>
  <w:footnote w:id="3">
    <w:p w14:paraId="75797F47" w14:textId="3168F301" w:rsidR="00B3252F" w:rsidRDefault="00B3252F">
      <w:pPr>
        <w:pStyle w:val="Notedebasdepage"/>
      </w:pPr>
      <w:r>
        <w:rPr>
          <w:rStyle w:val="Appelnotedebasdep"/>
        </w:rPr>
        <w:footnoteRef/>
      </w:r>
      <w:r>
        <w:t xml:space="preserve"> </w:t>
      </w:r>
      <w:r w:rsidRPr="00B3252F">
        <w:rPr>
          <w:i/>
          <w:iCs/>
        </w:rPr>
        <w:t>«</w:t>
      </w:r>
      <w:r>
        <w:rPr>
          <w:i/>
          <w:iCs/>
        </w:rPr>
        <w:t xml:space="preserve"> </w:t>
      </w:r>
      <w:r w:rsidRPr="00B3252F">
        <w:rPr>
          <w:i/>
          <w:iCs/>
        </w:rPr>
        <w:t>Dans ce cas, l’entreprise ne doit pas conditionner son soutien à l’obtention d’un marché public ou d’un contrat de concession (au risque d’être poursuivie pour corruption). Parallèlement, l’administration ne peut pas choisir un futur attributaire de marché en raison d’un parrainage, que celui-ci soit actuel ou futur (au risque d’être poursuivie pour favoritisme)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73C" w14:textId="4D3069FB" w:rsidR="00083006" w:rsidRDefault="00083006">
    <w:pPr>
      <w:pStyle w:val="En-tte"/>
    </w:pPr>
    <w:r>
      <w:rPr>
        <w:noProof/>
      </w:rPr>
      <w:drawing>
        <wp:anchor distT="0" distB="0" distL="114300" distR="114300" simplePos="0" relativeHeight="251658240" behindDoc="1" locked="0" layoutInCell="1" allowOverlap="1" wp14:anchorId="555E9906" wp14:editId="559E227D">
          <wp:simplePos x="0" y="0"/>
          <wp:positionH relativeFrom="margin">
            <wp:align>center</wp:align>
          </wp:positionH>
          <wp:positionV relativeFrom="paragraph">
            <wp:posOffset>-425781</wp:posOffset>
          </wp:positionV>
          <wp:extent cx="1427701" cy="803082"/>
          <wp:effectExtent l="0" t="0" r="1270" b="0"/>
          <wp:wrapNone/>
          <wp:docPr id="1076688851" name="Image 1"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88851" name="Image 1" descr="Une image contenant Police, Graphique, graphism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7701" cy="8030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ECC"/>
    <w:multiLevelType w:val="hybridMultilevel"/>
    <w:tmpl w:val="53600BB0"/>
    <w:lvl w:ilvl="0" w:tplc="3FDA1A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CA3F2F"/>
    <w:multiLevelType w:val="hybridMultilevel"/>
    <w:tmpl w:val="330476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80939511">
    <w:abstractNumId w:val="0"/>
  </w:num>
  <w:num w:numId="2" w16cid:durableId="179925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63"/>
    <w:rsid w:val="00083006"/>
    <w:rsid w:val="00264663"/>
    <w:rsid w:val="00277B2E"/>
    <w:rsid w:val="00402233"/>
    <w:rsid w:val="004A2D9B"/>
    <w:rsid w:val="00554209"/>
    <w:rsid w:val="005811C9"/>
    <w:rsid w:val="005D0D50"/>
    <w:rsid w:val="005E16D8"/>
    <w:rsid w:val="005E1F11"/>
    <w:rsid w:val="00681711"/>
    <w:rsid w:val="006A6A43"/>
    <w:rsid w:val="00747B87"/>
    <w:rsid w:val="007D612B"/>
    <w:rsid w:val="008F1FBB"/>
    <w:rsid w:val="00A5231F"/>
    <w:rsid w:val="00AE44F3"/>
    <w:rsid w:val="00AF5B0F"/>
    <w:rsid w:val="00B3252F"/>
    <w:rsid w:val="00C74C3A"/>
    <w:rsid w:val="00CD2353"/>
    <w:rsid w:val="00CD5018"/>
    <w:rsid w:val="00EA2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E580A"/>
  <w15:chartTrackingRefBased/>
  <w15:docId w15:val="{1CACD186-2063-4644-8C65-C887E72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33"/>
  </w:style>
  <w:style w:type="paragraph" w:styleId="Titre2">
    <w:name w:val="heading 2"/>
    <w:basedOn w:val="Normal"/>
    <w:next w:val="Normal"/>
    <w:link w:val="Titre2Car"/>
    <w:uiPriority w:val="9"/>
    <w:unhideWhenUsed/>
    <w:qFormat/>
    <w:rsid w:val="00402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44F3"/>
    <w:pPr>
      <w:ind w:left="720"/>
      <w:contextualSpacing/>
    </w:pPr>
  </w:style>
  <w:style w:type="character" w:customStyle="1" w:styleId="Titre2Car">
    <w:name w:val="Titre 2 Car"/>
    <w:basedOn w:val="Policepardfaut"/>
    <w:link w:val="Titre2"/>
    <w:uiPriority w:val="9"/>
    <w:rsid w:val="0040223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B325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252F"/>
    <w:rPr>
      <w:sz w:val="20"/>
      <w:szCs w:val="20"/>
    </w:rPr>
  </w:style>
  <w:style w:type="character" w:styleId="Appelnotedebasdep">
    <w:name w:val="footnote reference"/>
    <w:basedOn w:val="Policepardfaut"/>
    <w:uiPriority w:val="99"/>
    <w:semiHidden/>
    <w:unhideWhenUsed/>
    <w:rsid w:val="00B3252F"/>
    <w:rPr>
      <w:vertAlign w:val="superscript"/>
    </w:rPr>
  </w:style>
  <w:style w:type="paragraph" w:styleId="Titre">
    <w:name w:val="Title"/>
    <w:basedOn w:val="Normal"/>
    <w:next w:val="Normal"/>
    <w:link w:val="TitreCar"/>
    <w:uiPriority w:val="10"/>
    <w:qFormat/>
    <w:rsid w:val="00747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7B8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47B8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47B87"/>
    <w:rPr>
      <w:rFonts w:eastAsiaTheme="minorEastAsia"/>
      <w:color w:val="5A5A5A" w:themeColor="text1" w:themeTint="A5"/>
      <w:spacing w:val="15"/>
    </w:rPr>
  </w:style>
  <w:style w:type="paragraph" w:styleId="En-tte">
    <w:name w:val="header"/>
    <w:basedOn w:val="Normal"/>
    <w:link w:val="En-tteCar"/>
    <w:uiPriority w:val="99"/>
    <w:unhideWhenUsed/>
    <w:rsid w:val="00747B87"/>
    <w:pPr>
      <w:tabs>
        <w:tab w:val="center" w:pos="4536"/>
        <w:tab w:val="right" w:pos="9072"/>
      </w:tabs>
      <w:spacing w:after="0" w:line="240" w:lineRule="auto"/>
    </w:pPr>
  </w:style>
  <w:style w:type="character" w:customStyle="1" w:styleId="En-tteCar">
    <w:name w:val="En-tête Car"/>
    <w:basedOn w:val="Policepardfaut"/>
    <w:link w:val="En-tte"/>
    <w:uiPriority w:val="99"/>
    <w:rsid w:val="00747B87"/>
  </w:style>
  <w:style w:type="paragraph" w:styleId="Pieddepage">
    <w:name w:val="footer"/>
    <w:basedOn w:val="Normal"/>
    <w:link w:val="PieddepageCar"/>
    <w:uiPriority w:val="99"/>
    <w:unhideWhenUsed/>
    <w:rsid w:val="00747B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B87"/>
  </w:style>
  <w:style w:type="paragraph" w:styleId="Rvision">
    <w:name w:val="Revision"/>
    <w:hidden/>
    <w:uiPriority w:val="99"/>
    <w:semiHidden/>
    <w:rsid w:val="00681711"/>
    <w:pPr>
      <w:spacing w:after="0" w:line="240" w:lineRule="auto"/>
    </w:pPr>
  </w:style>
  <w:style w:type="character" w:styleId="Lienhypertexte">
    <w:name w:val="Hyperlink"/>
    <w:basedOn w:val="Policepardfaut"/>
    <w:uiPriority w:val="99"/>
    <w:semiHidden/>
    <w:unhideWhenUsed/>
    <w:rsid w:val="00581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comptes.fr/system/files/2018-11/20181128-rapport-soutien-public-mecenat-entrepris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e66408e-7cb2-40b5-9ee7-0dd8435032cb" xsi:nil="true"/>
    <lcf76f155ced4ddcb4097134ff3c332f xmlns="5e66408e-7cb2-40b5-9ee7-0dd8435032cb">
      <Terms xmlns="http://schemas.microsoft.com/office/infopath/2007/PartnerControls"/>
    </lcf76f155ced4ddcb4097134ff3c332f>
    <TaxCatchAll xmlns="83e95a3d-d3e3-4ab9-adc5-9b5c6d1406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8" ma:contentTypeDescription="Create a new document." ma:contentTypeScope="" ma:versionID="a443345d8f96683f68fe84e0baa699cf">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70ae325a983e9a0721505eac96035633"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d8ee29-17e3-42c8-9049-bc3ed43d493c}" ma:internalName="TaxCatchAll" ma:showField="CatchAllData" ma:web="83e95a3d-d3e3-4ab9-adc5-9b5c6d140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C867C-FB0D-49FC-B100-8FA5D736EEB9}">
  <ds:schemaRefs>
    <ds:schemaRef ds:uri="http://schemas.microsoft.com/sharepoint/v3/contenttype/forms"/>
  </ds:schemaRefs>
</ds:datastoreItem>
</file>

<file path=customXml/itemProps2.xml><?xml version="1.0" encoding="utf-8"?>
<ds:datastoreItem xmlns:ds="http://schemas.openxmlformats.org/officeDocument/2006/customXml" ds:itemID="{85099947-4164-47A8-815E-969F28CBDED6}">
  <ds:schemaRefs>
    <ds:schemaRef ds:uri="http://schemas.microsoft.com/office/2006/metadata/properties"/>
    <ds:schemaRef ds:uri="http://schemas.microsoft.com/office/infopath/2007/PartnerControls"/>
    <ds:schemaRef ds:uri="5e66408e-7cb2-40b5-9ee7-0dd8435032cb"/>
    <ds:schemaRef ds:uri="83e95a3d-d3e3-4ab9-adc5-9b5c6d140667"/>
  </ds:schemaRefs>
</ds:datastoreItem>
</file>

<file path=customXml/itemProps3.xml><?xml version="1.0" encoding="utf-8"?>
<ds:datastoreItem xmlns:ds="http://schemas.openxmlformats.org/officeDocument/2006/customXml" ds:itemID="{8BDE0081-BE1C-44C0-90C5-6AE47C53631D}">
  <ds:schemaRefs>
    <ds:schemaRef ds:uri="http://schemas.openxmlformats.org/officeDocument/2006/bibliography"/>
  </ds:schemaRefs>
</ds:datastoreItem>
</file>

<file path=customXml/itemProps4.xml><?xml version="1.0" encoding="utf-8"?>
<ds:datastoreItem xmlns:ds="http://schemas.openxmlformats.org/officeDocument/2006/customXml" ds:itemID="{AFE53DD9-BF7D-4F86-9A84-D82EE8F90C71}"/>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4431</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Gernier (TI FR)</dc:creator>
  <cp:keywords/>
  <dc:description/>
  <cp:lastModifiedBy>Kevin Gernier (TI FR)</cp:lastModifiedBy>
  <cp:revision>2</cp:revision>
  <dcterms:created xsi:type="dcterms:W3CDTF">2023-08-28T16:09:00Z</dcterms:created>
  <dcterms:modified xsi:type="dcterms:W3CDTF">2023-08-28T16:09:00Z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y fmtid="{D5CDD505-2E9C-101B-9397-08002B2CF9AE}" pid="3" name="MediaServiceImageTags">
    <vt:lpwstr/>
  </property>
</Properties>
</file>