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771D" w14:textId="77777777" w:rsidR="009A61BF" w:rsidRPr="00655FD1" w:rsidRDefault="009A61BF" w:rsidP="009A61BF">
      <w:pPr>
        <w:jc w:val="center"/>
        <w:rPr>
          <w:rFonts w:ascii="Helvetica" w:hAnsi="Helvetica" w:cs="Helvetica"/>
          <w:b/>
          <w:bCs/>
          <w:sz w:val="72"/>
          <w:szCs w:val="72"/>
          <w:lang w:val="fr-FR"/>
        </w:rPr>
      </w:pPr>
    </w:p>
    <w:p w14:paraId="78F5ECA3" w14:textId="77777777" w:rsidR="009A61BF" w:rsidRPr="00655FD1" w:rsidRDefault="009A61BF" w:rsidP="009A61BF">
      <w:pPr>
        <w:jc w:val="center"/>
        <w:rPr>
          <w:rFonts w:ascii="Helvetica" w:hAnsi="Helvetica" w:cs="Helvetica"/>
          <w:b/>
          <w:bCs/>
          <w:sz w:val="72"/>
          <w:szCs w:val="72"/>
          <w:lang w:val="fr-FR"/>
        </w:rPr>
      </w:pPr>
    </w:p>
    <w:p w14:paraId="23918FE6" w14:textId="77777777" w:rsidR="009A61BF" w:rsidRPr="00655FD1" w:rsidRDefault="009A61BF" w:rsidP="009A61BF">
      <w:pPr>
        <w:jc w:val="center"/>
        <w:rPr>
          <w:rFonts w:ascii="Helvetica" w:hAnsi="Helvetica" w:cs="Helvetica"/>
          <w:b/>
          <w:bCs/>
          <w:sz w:val="72"/>
          <w:szCs w:val="72"/>
          <w:lang w:val="fr-FR"/>
        </w:rPr>
      </w:pPr>
    </w:p>
    <w:p w14:paraId="440D7702" w14:textId="0D84327D" w:rsidR="009A61BF" w:rsidRPr="00655FD1" w:rsidRDefault="009A61BF" w:rsidP="009A61BF">
      <w:pPr>
        <w:rPr>
          <w:rFonts w:ascii="Helvetica" w:hAnsi="Helvetica" w:cs="Helvetica"/>
          <w:b/>
          <w:bCs/>
          <w:color w:val="002060"/>
          <w:sz w:val="72"/>
          <w:szCs w:val="72"/>
          <w:lang w:val="fr-FR"/>
        </w:rPr>
      </w:pPr>
      <w:r w:rsidRPr="00655FD1">
        <w:rPr>
          <w:rFonts w:ascii="Helvetica" w:hAnsi="Helvetica" w:cs="Helvetica"/>
          <w:b/>
          <w:bCs/>
          <w:color w:val="002060"/>
          <w:sz w:val="72"/>
          <w:szCs w:val="72"/>
          <w:lang w:val="fr-FR"/>
        </w:rPr>
        <w:t>PROJET DE LOI D’ORIENTATION ET DE PROGRAMMATION</w:t>
      </w:r>
    </w:p>
    <w:p w14:paraId="539B5F18" w14:textId="7D45A2D6" w:rsidR="009A61BF" w:rsidRPr="00655FD1" w:rsidRDefault="009A61BF" w:rsidP="009A61BF">
      <w:pPr>
        <w:rPr>
          <w:rFonts w:ascii="Helvetica" w:hAnsi="Helvetica" w:cs="Helvetica"/>
          <w:b/>
          <w:bCs/>
          <w:color w:val="002060"/>
          <w:sz w:val="72"/>
          <w:szCs w:val="72"/>
          <w:lang w:val="fr-FR"/>
        </w:rPr>
      </w:pPr>
      <w:r w:rsidRPr="00655FD1">
        <w:rPr>
          <w:rFonts w:ascii="Helvetica" w:hAnsi="Helvetica" w:cs="Helvetica"/>
          <w:b/>
          <w:bCs/>
          <w:color w:val="002060"/>
          <w:sz w:val="72"/>
          <w:szCs w:val="72"/>
          <w:lang w:val="fr-FR"/>
        </w:rPr>
        <w:t>DU MINISTERE DE LA JUSTICE 2023-2027</w:t>
      </w:r>
    </w:p>
    <w:p w14:paraId="7384D95C" w14:textId="77777777" w:rsidR="009A61BF" w:rsidRPr="00655FD1" w:rsidRDefault="009A61BF">
      <w:pPr>
        <w:rPr>
          <w:rFonts w:ascii="Helvetica" w:hAnsi="Helvetica" w:cs="Helvetica"/>
          <w:b/>
          <w:bCs/>
          <w:lang w:val="fr-FR"/>
        </w:rPr>
      </w:pPr>
      <w:r w:rsidRPr="00655FD1">
        <w:rPr>
          <w:rFonts w:ascii="Helvetica" w:hAnsi="Helvetica" w:cs="Helvetica"/>
          <w:b/>
          <w:bCs/>
          <w:lang w:val="fr-FR"/>
        </w:rPr>
        <w:br w:type="page"/>
      </w:r>
    </w:p>
    <w:p w14:paraId="73ED9A4E" w14:textId="77777777" w:rsidR="009A61BF" w:rsidRPr="00655FD1" w:rsidRDefault="009A61BF" w:rsidP="009A61BF">
      <w:pPr>
        <w:jc w:val="center"/>
        <w:rPr>
          <w:rFonts w:ascii="Helvetica" w:hAnsi="Helvetica" w:cs="Helvetica"/>
          <w:b/>
          <w:bCs/>
          <w:lang w:val="fr-FR"/>
        </w:rPr>
      </w:pPr>
    </w:p>
    <w:p w14:paraId="47C4B861" w14:textId="0A9BED9E" w:rsidR="009A61BF" w:rsidRPr="00655FD1" w:rsidRDefault="009A61BF">
      <w:pPr>
        <w:rPr>
          <w:rFonts w:ascii="Helvetica" w:hAnsi="Helvetica" w:cs="Helvetica"/>
          <w:b/>
          <w:bCs/>
          <w:lang w:val="fr-FR"/>
        </w:rPr>
      </w:pPr>
    </w:p>
    <w:p w14:paraId="64150803" w14:textId="77777777" w:rsidR="009A61BF" w:rsidRPr="00655FD1" w:rsidRDefault="009A61BF" w:rsidP="004056A0">
      <w:pPr>
        <w:jc w:val="center"/>
        <w:rPr>
          <w:rFonts w:ascii="Helvetica" w:hAnsi="Helvetica" w:cs="Helvetica"/>
          <w:b/>
          <w:bCs/>
          <w:lang w:val="fr-FR"/>
        </w:rPr>
      </w:pPr>
    </w:p>
    <w:p w14:paraId="22621D9E" w14:textId="3E89CE86" w:rsidR="004056A0" w:rsidRPr="00655FD1" w:rsidRDefault="004056A0" w:rsidP="004056A0">
      <w:pPr>
        <w:jc w:val="center"/>
        <w:rPr>
          <w:rFonts w:ascii="Helvetica" w:hAnsi="Helvetica" w:cs="Helvetica"/>
          <w:b/>
          <w:bCs/>
          <w:lang w:val="fr-FR"/>
        </w:rPr>
      </w:pPr>
      <w:r w:rsidRPr="00655FD1">
        <w:rPr>
          <w:rFonts w:ascii="Helvetica" w:hAnsi="Helvetica" w:cs="Helvetica"/>
          <w:b/>
          <w:bCs/>
          <w:lang w:val="fr-FR"/>
        </w:rPr>
        <w:t xml:space="preserve">PROJET DE LOI D’ORIENTATION ET DE PROGRAMMATION </w:t>
      </w:r>
    </w:p>
    <w:p w14:paraId="2917048D" w14:textId="77777777" w:rsidR="004056A0" w:rsidRPr="00655FD1" w:rsidRDefault="004056A0" w:rsidP="004056A0">
      <w:pPr>
        <w:jc w:val="center"/>
        <w:rPr>
          <w:rFonts w:ascii="Helvetica" w:hAnsi="Helvetica" w:cs="Helvetica"/>
          <w:b/>
          <w:bCs/>
          <w:lang w:val="fr-FR"/>
        </w:rPr>
      </w:pPr>
      <w:r w:rsidRPr="00655FD1">
        <w:rPr>
          <w:rFonts w:ascii="Helvetica" w:hAnsi="Helvetica" w:cs="Helvetica"/>
          <w:b/>
          <w:bCs/>
          <w:lang w:val="fr-FR"/>
        </w:rPr>
        <w:t>DU MINISTERE DE LA JUSTICE 2023-2027</w:t>
      </w:r>
    </w:p>
    <w:p w14:paraId="73165A01" w14:textId="77777777" w:rsidR="004056A0" w:rsidRPr="00655FD1" w:rsidRDefault="004056A0" w:rsidP="004056A0">
      <w:pPr>
        <w:jc w:val="center"/>
        <w:rPr>
          <w:rFonts w:ascii="Helvetica" w:hAnsi="Helvetica" w:cs="Helvetica"/>
          <w:b/>
          <w:bCs/>
          <w:lang w:val="fr-FR"/>
        </w:rPr>
      </w:pPr>
    </w:p>
    <w:p w14:paraId="3B87CED3" w14:textId="77777777" w:rsidR="004056A0" w:rsidRPr="00655FD1" w:rsidRDefault="004056A0" w:rsidP="004056A0">
      <w:pPr>
        <w:jc w:val="center"/>
        <w:rPr>
          <w:rFonts w:ascii="Helvetica" w:hAnsi="Helvetica" w:cs="Helvetica"/>
          <w:b/>
          <w:bCs/>
          <w:lang w:val="fr-FR"/>
        </w:rPr>
      </w:pPr>
      <w:r w:rsidRPr="00655FD1">
        <w:rPr>
          <w:rFonts w:ascii="Helvetica" w:hAnsi="Helvetica" w:cs="Helvetica"/>
          <w:b/>
          <w:bCs/>
          <w:lang w:val="fr-FR"/>
        </w:rPr>
        <w:t>Amendement</w:t>
      </w:r>
    </w:p>
    <w:p w14:paraId="6416553C" w14:textId="77777777" w:rsidR="004056A0" w:rsidRPr="00655FD1" w:rsidRDefault="004056A0" w:rsidP="004056A0">
      <w:pPr>
        <w:rPr>
          <w:rFonts w:ascii="Helvetica" w:hAnsi="Helvetica" w:cs="Helvetica"/>
          <w:lang w:val="fr-FR"/>
        </w:rPr>
      </w:pPr>
    </w:p>
    <w:p w14:paraId="47D0BDCE" w14:textId="77777777" w:rsidR="004056A0" w:rsidRPr="00655FD1" w:rsidRDefault="004056A0" w:rsidP="004056A0">
      <w:pPr>
        <w:jc w:val="center"/>
        <w:rPr>
          <w:rFonts w:ascii="Helvetica" w:hAnsi="Helvetica" w:cs="Helvetica"/>
          <w:lang w:val="fr-FR"/>
        </w:rPr>
      </w:pPr>
      <w:r w:rsidRPr="00655FD1">
        <w:rPr>
          <w:rFonts w:ascii="Helvetica" w:hAnsi="Helvetica" w:cs="Helvetica"/>
          <w:lang w:val="fr-FR"/>
        </w:rPr>
        <w:t>Article 1 (rapport annexé)</w:t>
      </w:r>
    </w:p>
    <w:p w14:paraId="2E0E6DF7" w14:textId="77777777" w:rsidR="004056A0" w:rsidRPr="00655FD1" w:rsidRDefault="004056A0" w:rsidP="004056A0">
      <w:pPr>
        <w:jc w:val="both"/>
        <w:rPr>
          <w:rFonts w:ascii="Helvetica" w:hAnsi="Helvetica" w:cs="Helvetica"/>
          <w:lang w:val="fr-FR"/>
        </w:rPr>
      </w:pPr>
    </w:p>
    <w:p w14:paraId="7A9D664F" w14:textId="77777777" w:rsidR="004056A0" w:rsidRPr="00655FD1" w:rsidRDefault="004056A0" w:rsidP="004056A0">
      <w:pPr>
        <w:jc w:val="center"/>
        <w:rPr>
          <w:rFonts w:ascii="Helvetica" w:hAnsi="Helvetica" w:cs="Helvetica"/>
          <w:lang w:val="fr-FR"/>
        </w:rPr>
      </w:pPr>
      <w:r w:rsidRPr="00655FD1">
        <w:rPr>
          <w:rFonts w:ascii="Helvetica" w:hAnsi="Helvetica" w:cs="Helvetica"/>
          <w:lang w:val="fr-FR"/>
        </w:rPr>
        <w:t>Après l’alinéa 313, insérer l’alinéa suivant :</w:t>
      </w:r>
    </w:p>
    <w:p w14:paraId="036ACCC7" w14:textId="77777777" w:rsidR="004056A0" w:rsidRPr="00655FD1" w:rsidRDefault="004056A0" w:rsidP="004056A0">
      <w:pPr>
        <w:ind w:left="720"/>
        <w:jc w:val="both"/>
        <w:rPr>
          <w:rFonts w:ascii="Helvetica" w:hAnsi="Helvetica" w:cs="Helvetica"/>
          <w:lang w:val="fr-FR"/>
        </w:rPr>
      </w:pPr>
    </w:p>
    <w:p w14:paraId="333EAD4F" w14:textId="77777777" w:rsidR="004056A0" w:rsidRPr="00655FD1" w:rsidRDefault="004056A0" w:rsidP="004056A0">
      <w:pPr>
        <w:jc w:val="both"/>
        <w:rPr>
          <w:rFonts w:ascii="Helvetica" w:hAnsi="Helvetica" w:cs="Helvetica"/>
          <w:lang w:val="fr-FR"/>
        </w:rPr>
      </w:pPr>
      <w:r w:rsidRPr="00655FD1">
        <w:rPr>
          <w:rFonts w:ascii="Helvetica" w:hAnsi="Helvetica" w:cs="Helvetica"/>
          <w:lang w:val="fr-FR"/>
        </w:rPr>
        <w:t>« La lutte contre la corruption et le blanchiment doit bénéficier de moyens clairement identifiés inscrits dans une stratégie nationale anticorruption ambitieuse animée dans un cadre interministériel. La détection, la prévention et la répression de la corruption publique et privée doivent mobiliser l’ensemble des décideurs politiques et administratifs, l’Agence française anticorruption (AFA) et les juridictions spécialisées à l’échelle nationale (Parquet national financier) ou régionale (Juridictions interrégionales spécialisées). »</w:t>
      </w:r>
    </w:p>
    <w:p w14:paraId="068B8053" w14:textId="77777777" w:rsidR="004056A0" w:rsidRPr="00655FD1" w:rsidRDefault="004056A0" w:rsidP="004056A0">
      <w:pPr>
        <w:jc w:val="both"/>
        <w:rPr>
          <w:rFonts w:ascii="Helvetica" w:hAnsi="Helvetica" w:cs="Helvetica"/>
          <w:lang w:val="fr-FR"/>
        </w:rPr>
      </w:pPr>
    </w:p>
    <w:p w14:paraId="30C6B4B7" w14:textId="2B483A75" w:rsidR="004056A0" w:rsidRPr="00655FD1" w:rsidRDefault="004056A0" w:rsidP="004056A0">
      <w:pPr>
        <w:jc w:val="center"/>
        <w:rPr>
          <w:rFonts w:ascii="Helvetica" w:hAnsi="Helvetica" w:cs="Helvetica"/>
          <w:u w:val="single"/>
          <w:lang w:val="fr-FR"/>
        </w:rPr>
      </w:pPr>
      <w:r w:rsidRPr="00655FD1">
        <w:rPr>
          <w:rFonts w:ascii="Helvetica" w:hAnsi="Helvetica" w:cs="Helvetica"/>
          <w:u w:val="single"/>
          <w:lang w:val="fr-FR"/>
        </w:rPr>
        <w:t>Exposé des motifs</w:t>
      </w:r>
    </w:p>
    <w:p w14:paraId="520F8BAC" w14:textId="77777777" w:rsidR="004056A0" w:rsidRPr="00655FD1" w:rsidRDefault="004056A0" w:rsidP="004056A0">
      <w:pPr>
        <w:jc w:val="both"/>
        <w:rPr>
          <w:rFonts w:ascii="Helvetica" w:hAnsi="Helvetica" w:cs="Helvetica"/>
          <w:u w:val="single"/>
          <w:lang w:val="fr-FR"/>
        </w:rPr>
      </w:pPr>
    </w:p>
    <w:p w14:paraId="396E325B" w14:textId="77777777" w:rsidR="004056A0" w:rsidRPr="00655FD1" w:rsidRDefault="004056A0" w:rsidP="004056A0">
      <w:pPr>
        <w:jc w:val="both"/>
        <w:rPr>
          <w:rFonts w:ascii="Helvetica" w:hAnsi="Helvetica" w:cs="Helvetica"/>
          <w:lang w:val="fr-FR"/>
        </w:rPr>
      </w:pPr>
      <w:r w:rsidRPr="00655FD1">
        <w:rPr>
          <w:rFonts w:ascii="Helvetica" w:hAnsi="Helvetica" w:cs="Helvetica"/>
          <w:lang w:val="fr-FR"/>
        </w:rPr>
        <w:t>Le rapport annexé au présent projet de loi noie la lutte contre corruption dans une longue énumération « d’autres politiques publiques que le ministère de la Justice entend porter à un haut niveau d’engagement ».</w:t>
      </w:r>
    </w:p>
    <w:p w14:paraId="22357C46" w14:textId="77777777" w:rsidR="004056A0" w:rsidRPr="00655FD1" w:rsidRDefault="004056A0" w:rsidP="004056A0">
      <w:pPr>
        <w:jc w:val="both"/>
        <w:rPr>
          <w:rFonts w:ascii="Helvetica" w:hAnsi="Helvetica" w:cs="Helvetica"/>
          <w:lang w:val="fr-FR"/>
        </w:rPr>
      </w:pPr>
      <w:r w:rsidRPr="00655FD1">
        <w:rPr>
          <w:rFonts w:ascii="Helvetica" w:hAnsi="Helvetica" w:cs="Helvetica"/>
          <w:lang w:val="fr-FR"/>
        </w:rPr>
        <w:t>Contrairement à d’autres pays occidentaux, notamment les Etats-Unis, la lutte anticorruption en France ne dispose pas d’une visibilité en rapport avec les évolutions importantes intervenues depuis 2013 : création du Parquet national financier, création de l’Agence française anticorruption, création de la convention judiciaire d’intérêt public…</w:t>
      </w:r>
    </w:p>
    <w:p w14:paraId="414BF62F" w14:textId="77777777" w:rsidR="004056A0" w:rsidRPr="00655FD1" w:rsidRDefault="004056A0" w:rsidP="004056A0">
      <w:pPr>
        <w:jc w:val="both"/>
        <w:rPr>
          <w:rFonts w:ascii="Helvetica" w:hAnsi="Helvetica" w:cs="Helvetica"/>
          <w:lang w:val="fr-FR"/>
        </w:rPr>
      </w:pPr>
      <w:r w:rsidRPr="00655FD1">
        <w:rPr>
          <w:rFonts w:ascii="Helvetica" w:hAnsi="Helvetica" w:cs="Helvetica"/>
          <w:lang w:val="fr-FR"/>
        </w:rPr>
        <w:t>Au croisement de du travail administratif et de l’action judiciaire, la lutte anticorruption devrait être conduite dans un cadre interministériel qui permette la mobilisation de tous les acteurs publics pour lutter contre la corruption publique et privée, en France et à l’international.</w:t>
      </w:r>
    </w:p>
    <w:p w14:paraId="49C00E74" w14:textId="77777777" w:rsidR="004056A0" w:rsidRPr="00655FD1" w:rsidRDefault="004056A0" w:rsidP="004056A0">
      <w:pPr>
        <w:jc w:val="both"/>
        <w:rPr>
          <w:rFonts w:ascii="Helvetica" w:hAnsi="Helvetica" w:cs="Helvetica"/>
          <w:lang w:val="fr-FR"/>
        </w:rPr>
      </w:pPr>
      <w:r w:rsidRPr="00655FD1">
        <w:rPr>
          <w:rFonts w:ascii="Helvetica" w:hAnsi="Helvetica" w:cs="Helvetica"/>
          <w:lang w:val="fr-FR"/>
        </w:rPr>
        <w:t xml:space="preserve">Les outils sont là, les moyens ne sont pas toujours à la hauteur, mais la lutte anticorruption souffre de son absence de visibilité tant </w:t>
      </w:r>
      <w:proofErr w:type="gramStart"/>
      <w:r w:rsidRPr="00655FD1">
        <w:rPr>
          <w:rFonts w:ascii="Helvetica" w:hAnsi="Helvetica" w:cs="Helvetica"/>
          <w:lang w:val="fr-FR"/>
        </w:rPr>
        <w:t>au</w:t>
      </w:r>
      <w:proofErr w:type="gramEnd"/>
      <w:r w:rsidRPr="00655FD1">
        <w:rPr>
          <w:rFonts w:ascii="Helvetica" w:hAnsi="Helvetica" w:cs="Helvetica"/>
          <w:lang w:val="fr-FR"/>
        </w:rPr>
        <w:t xml:space="preserve"> plan national qu’européen et international et de la faiblesse du portage politique, alors même qu’elle constitue un enjeu de confiance publique, mais aussi de souveraineté et de sécurité.</w:t>
      </w:r>
    </w:p>
    <w:p w14:paraId="170DD07A" w14:textId="77777777" w:rsidR="004056A0" w:rsidRPr="00655FD1" w:rsidRDefault="004056A0" w:rsidP="004056A0">
      <w:pPr>
        <w:jc w:val="both"/>
        <w:rPr>
          <w:rFonts w:ascii="Helvetica" w:hAnsi="Helvetica" w:cs="Helvetica"/>
          <w:lang w:val="fr-FR"/>
        </w:rPr>
      </w:pPr>
      <w:r w:rsidRPr="00655FD1">
        <w:rPr>
          <w:rFonts w:ascii="Helvetica" w:hAnsi="Helvetica" w:cs="Helvetica"/>
          <w:lang w:val="fr-FR"/>
        </w:rPr>
        <w:t xml:space="preserve">Cet amendement a fait l’objet d’un travail avec </w:t>
      </w:r>
      <w:proofErr w:type="spellStart"/>
      <w:r w:rsidRPr="00655FD1">
        <w:rPr>
          <w:rFonts w:ascii="Helvetica" w:hAnsi="Helvetica" w:cs="Helvetica"/>
          <w:lang w:val="fr-FR"/>
        </w:rPr>
        <w:t>Transparency</w:t>
      </w:r>
      <w:proofErr w:type="spellEnd"/>
      <w:r w:rsidRPr="00655FD1">
        <w:rPr>
          <w:rFonts w:ascii="Helvetica" w:hAnsi="Helvetica" w:cs="Helvetica"/>
          <w:lang w:val="fr-FR"/>
        </w:rPr>
        <w:t xml:space="preserve"> International France</w:t>
      </w:r>
    </w:p>
    <w:p w14:paraId="0803A055" w14:textId="77777777" w:rsidR="004056A0" w:rsidRPr="00655FD1" w:rsidRDefault="004056A0" w:rsidP="004056A0">
      <w:pPr>
        <w:jc w:val="both"/>
        <w:rPr>
          <w:rFonts w:ascii="Helvetica" w:hAnsi="Helvetica" w:cs="Helvetica"/>
          <w:lang w:val="fr-FR"/>
        </w:rPr>
      </w:pPr>
    </w:p>
    <w:p w14:paraId="0E2A7F59" w14:textId="77777777" w:rsidR="004056A0" w:rsidRPr="00655FD1" w:rsidRDefault="004056A0" w:rsidP="004056A0">
      <w:pPr>
        <w:jc w:val="both"/>
        <w:rPr>
          <w:rFonts w:ascii="Helvetica" w:hAnsi="Helvetica" w:cs="Helvetica"/>
          <w:lang w:val="fr-FR"/>
        </w:rPr>
      </w:pPr>
    </w:p>
    <w:p w14:paraId="0F644217" w14:textId="77777777" w:rsidR="004056A0" w:rsidRPr="00655FD1" w:rsidRDefault="004056A0" w:rsidP="004056A0">
      <w:pPr>
        <w:jc w:val="both"/>
        <w:rPr>
          <w:rFonts w:ascii="Helvetica" w:hAnsi="Helvetica" w:cs="Helvetica"/>
          <w:lang w:val="fr-FR"/>
        </w:rPr>
      </w:pPr>
    </w:p>
    <w:p w14:paraId="301F075A" w14:textId="54C7D662" w:rsidR="004056A0" w:rsidRPr="00655FD1" w:rsidRDefault="004056A0" w:rsidP="009A61BF">
      <w:pPr>
        <w:jc w:val="center"/>
        <w:rPr>
          <w:rFonts w:ascii="Helvetica" w:hAnsi="Helvetica" w:cs="Helvetica"/>
          <w:b/>
          <w:bCs/>
          <w:lang w:val="fr-FR"/>
        </w:rPr>
      </w:pPr>
      <w:r w:rsidRPr="00655FD1">
        <w:rPr>
          <w:rFonts w:ascii="Helvetica" w:hAnsi="Helvetica" w:cs="Helvetica"/>
          <w:b/>
          <w:bCs/>
          <w:lang w:val="fr-FR"/>
        </w:rPr>
        <w:t>PROJET DE LOI D’ORIENTATION ET DE PROGRAMMATION</w:t>
      </w:r>
    </w:p>
    <w:p w14:paraId="3169CD3B" w14:textId="77777777" w:rsidR="004056A0" w:rsidRPr="00655FD1" w:rsidRDefault="004056A0" w:rsidP="004056A0">
      <w:pPr>
        <w:jc w:val="center"/>
        <w:rPr>
          <w:rFonts w:ascii="Helvetica" w:hAnsi="Helvetica" w:cs="Helvetica"/>
          <w:b/>
          <w:bCs/>
          <w:lang w:val="fr-FR"/>
        </w:rPr>
      </w:pPr>
      <w:r w:rsidRPr="00655FD1">
        <w:rPr>
          <w:rFonts w:ascii="Helvetica" w:hAnsi="Helvetica" w:cs="Helvetica"/>
          <w:b/>
          <w:bCs/>
          <w:lang w:val="fr-FR"/>
        </w:rPr>
        <w:t>DU MINISTERE DE LA JUSTICE 2023-2027</w:t>
      </w:r>
    </w:p>
    <w:p w14:paraId="42F3197D" w14:textId="77777777" w:rsidR="004056A0" w:rsidRPr="00655FD1" w:rsidRDefault="004056A0" w:rsidP="004056A0">
      <w:pPr>
        <w:jc w:val="center"/>
        <w:rPr>
          <w:rFonts w:ascii="Helvetica" w:hAnsi="Helvetica" w:cs="Helvetica"/>
          <w:b/>
          <w:bCs/>
          <w:lang w:val="fr-FR"/>
        </w:rPr>
      </w:pPr>
    </w:p>
    <w:p w14:paraId="0325AE13" w14:textId="77777777" w:rsidR="004056A0" w:rsidRPr="00655FD1" w:rsidRDefault="004056A0" w:rsidP="004056A0">
      <w:pPr>
        <w:jc w:val="center"/>
        <w:rPr>
          <w:rFonts w:ascii="Helvetica" w:hAnsi="Helvetica" w:cs="Helvetica"/>
          <w:b/>
          <w:bCs/>
          <w:lang w:val="fr-FR"/>
        </w:rPr>
      </w:pPr>
      <w:r w:rsidRPr="00655FD1">
        <w:rPr>
          <w:rFonts w:ascii="Helvetica" w:hAnsi="Helvetica" w:cs="Helvetica"/>
          <w:b/>
          <w:bCs/>
          <w:lang w:val="fr-FR"/>
        </w:rPr>
        <w:t>Amendement</w:t>
      </w:r>
    </w:p>
    <w:p w14:paraId="5793C453" w14:textId="77777777" w:rsidR="004056A0" w:rsidRPr="00655FD1" w:rsidRDefault="004056A0" w:rsidP="004056A0">
      <w:pPr>
        <w:jc w:val="both"/>
        <w:rPr>
          <w:rFonts w:ascii="Helvetica" w:hAnsi="Helvetica" w:cs="Helvetica"/>
          <w:lang w:val="fr-FR"/>
        </w:rPr>
      </w:pPr>
    </w:p>
    <w:p w14:paraId="5ADF918C" w14:textId="77777777" w:rsidR="004056A0" w:rsidRPr="00655FD1" w:rsidRDefault="004056A0" w:rsidP="004056A0">
      <w:pPr>
        <w:jc w:val="center"/>
        <w:rPr>
          <w:rFonts w:ascii="Helvetica" w:hAnsi="Helvetica" w:cs="Helvetica"/>
          <w:lang w:val="fr-FR"/>
        </w:rPr>
      </w:pPr>
      <w:r w:rsidRPr="00655FD1">
        <w:rPr>
          <w:rFonts w:ascii="Helvetica" w:hAnsi="Helvetica" w:cs="Helvetica"/>
          <w:lang w:val="fr-FR"/>
        </w:rPr>
        <w:t>Article 1</w:t>
      </w:r>
      <w:r w:rsidRPr="00655FD1">
        <w:rPr>
          <w:rFonts w:ascii="Helvetica" w:hAnsi="Helvetica" w:cs="Helvetica"/>
          <w:vertAlign w:val="superscript"/>
          <w:lang w:val="fr-FR"/>
        </w:rPr>
        <w:t>er</w:t>
      </w:r>
      <w:r w:rsidRPr="00655FD1">
        <w:rPr>
          <w:rFonts w:ascii="Helvetica" w:hAnsi="Helvetica" w:cs="Helvetica"/>
          <w:lang w:val="fr-FR"/>
        </w:rPr>
        <w:t xml:space="preserve"> (Rapport annexé)</w:t>
      </w:r>
    </w:p>
    <w:p w14:paraId="4DDFA032" w14:textId="77777777" w:rsidR="004056A0" w:rsidRPr="00655FD1" w:rsidRDefault="004056A0" w:rsidP="004056A0">
      <w:pPr>
        <w:jc w:val="both"/>
        <w:rPr>
          <w:rFonts w:ascii="Helvetica" w:hAnsi="Helvetica" w:cs="Helvetica"/>
          <w:lang w:val="fr-FR"/>
        </w:rPr>
      </w:pPr>
    </w:p>
    <w:p w14:paraId="17116D11" w14:textId="77777777" w:rsidR="004056A0" w:rsidRPr="00655FD1" w:rsidRDefault="004056A0" w:rsidP="004056A0">
      <w:pPr>
        <w:jc w:val="both"/>
        <w:rPr>
          <w:rFonts w:ascii="Helvetica" w:hAnsi="Helvetica" w:cs="Helvetica"/>
          <w:lang w:val="fr-FR"/>
        </w:rPr>
      </w:pPr>
      <w:r w:rsidRPr="00655FD1">
        <w:rPr>
          <w:rFonts w:ascii="Helvetica" w:hAnsi="Helvetica" w:cs="Helvetica"/>
          <w:lang w:val="fr-FR"/>
        </w:rPr>
        <w:t>Après l’alinéa 313, insérer l’alinéa suivant :</w:t>
      </w:r>
    </w:p>
    <w:p w14:paraId="1291E2EB" w14:textId="77777777" w:rsidR="004056A0" w:rsidRPr="00655FD1" w:rsidRDefault="004056A0" w:rsidP="004056A0">
      <w:pPr>
        <w:ind w:left="720"/>
        <w:jc w:val="both"/>
        <w:rPr>
          <w:rFonts w:ascii="Helvetica" w:hAnsi="Helvetica" w:cs="Helvetica"/>
          <w:lang w:val="fr-FR"/>
        </w:rPr>
      </w:pPr>
    </w:p>
    <w:p w14:paraId="01BB1EA0" w14:textId="77777777" w:rsidR="004056A0" w:rsidRPr="00655FD1" w:rsidRDefault="004056A0" w:rsidP="004056A0">
      <w:pPr>
        <w:jc w:val="both"/>
        <w:rPr>
          <w:rFonts w:ascii="Helvetica" w:hAnsi="Helvetica" w:cs="Helvetica"/>
          <w:lang w:val="fr-FR"/>
        </w:rPr>
      </w:pPr>
      <w:r w:rsidRPr="00655FD1">
        <w:rPr>
          <w:rFonts w:ascii="Helvetica" w:hAnsi="Helvetica" w:cs="Helvetica"/>
          <w:lang w:val="fr-FR"/>
        </w:rPr>
        <w:t>« La réforme de la police nationale conduite par le ministère de l’Intérieur aura des conséquences importantes pour les services d’investigation spécialisés qui sont indispensables aux enquêtes judiciaires. Les moyens consacrés à la répression des atteintes à la probité et à la délinquance économique et financière doivent en conséquence être garantis. La nouvelle organisation policière ne doit en aucun cas constituer une entrave au libre choix du service enquêteur par les magistrats. Pour protéger l’indépendance de certaines enquêtes judiciaires, l’échelon zonal de la police judiciaire doit être doté de moyens humains et budgétaires. »</w:t>
      </w:r>
    </w:p>
    <w:p w14:paraId="02929E05" w14:textId="77777777" w:rsidR="004056A0" w:rsidRPr="00655FD1" w:rsidRDefault="004056A0" w:rsidP="004056A0">
      <w:pPr>
        <w:ind w:left="720"/>
        <w:jc w:val="both"/>
        <w:rPr>
          <w:rFonts w:ascii="Helvetica" w:hAnsi="Helvetica" w:cs="Helvetica"/>
          <w:lang w:val="fr-FR"/>
        </w:rPr>
      </w:pPr>
    </w:p>
    <w:p w14:paraId="3E3FCB14" w14:textId="4D1D3266" w:rsidR="004056A0" w:rsidRPr="00655FD1" w:rsidRDefault="004056A0" w:rsidP="004056A0">
      <w:pPr>
        <w:jc w:val="center"/>
        <w:rPr>
          <w:rFonts w:ascii="Helvetica" w:hAnsi="Helvetica" w:cs="Helvetica"/>
          <w:u w:val="single"/>
          <w:lang w:val="fr-FR"/>
        </w:rPr>
      </w:pPr>
      <w:r w:rsidRPr="00655FD1">
        <w:rPr>
          <w:rFonts w:ascii="Helvetica" w:hAnsi="Helvetica" w:cs="Helvetica"/>
          <w:u w:val="single"/>
          <w:lang w:val="fr-FR"/>
        </w:rPr>
        <w:t>Exposé des motifs</w:t>
      </w:r>
    </w:p>
    <w:p w14:paraId="1404B897" w14:textId="77777777" w:rsidR="004056A0" w:rsidRPr="00655FD1" w:rsidRDefault="004056A0" w:rsidP="004056A0">
      <w:pPr>
        <w:jc w:val="both"/>
        <w:rPr>
          <w:rFonts w:ascii="Helvetica" w:hAnsi="Helvetica" w:cs="Helvetica"/>
          <w:u w:val="single"/>
          <w:lang w:val="fr-FR"/>
        </w:rPr>
      </w:pPr>
    </w:p>
    <w:p w14:paraId="142A4416" w14:textId="77777777" w:rsidR="004056A0" w:rsidRPr="00655FD1" w:rsidRDefault="004056A0" w:rsidP="004056A0">
      <w:pPr>
        <w:jc w:val="both"/>
        <w:rPr>
          <w:rFonts w:ascii="Helvetica" w:hAnsi="Helvetica" w:cs="Helvetica"/>
          <w:lang w:val="fr-FR"/>
        </w:rPr>
      </w:pPr>
      <w:r w:rsidRPr="00655FD1">
        <w:rPr>
          <w:rFonts w:ascii="Helvetica" w:hAnsi="Helvetica" w:cs="Helvetica"/>
          <w:lang w:val="fr-FR"/>
        </w:rPr>
        <w:t xml:space="preserve">Malgré une très large contestation, 2023 devrait être l’année de la mise en œuvre de la réforme de la police judiciaire. Cette réorganisation </w:t>
      </w:r>
      <w:proofErr w:type="gramStart"/>
      <w:r w:rsidRPr="00655FD1">
        <w:rPr>
          <w:rFonts w:ascii="Helvetica" w:hAnsi="Helvetica" w:cs="Helvetica"/>
          <w:lang w:val="fr-FR"/>
        </w:rPr>
        <w:t>aura</w:t>
      </w:r>
      <w:proofErr w:type="gramEnd"/>
      <w:r w:rsidRPr="00655FD1">
        <w:rPr>
          <w:rFonts w:ascii="Helvetica" w:hAnsi="Helvetica" w:cs="Helvetica"/>
          <w:lang w:val="fr-FR"/>
        </w:rPr>
        <w:t xml:space="preserve"> des conséquences importantes pour l’existence de services d’enquête efficaces dans la lutte contre les atteintes à la probité et la délinquance économique et financière. Face à une réforme qui déstabilise une police judiciaire déjà en crise, il convient de sanctuariser les moyens humains et matériels affectés à ces enquêtes longues et complexes, nécessitant le plus souvent une coopération judiciaire internationale.</w:t>
      </w:r>
    </w:p>
    <w:p w14:paraId="3482C18E" w14:textId="77777777" w:rsidR="004056A0" w:rsidRPr="00655FD1" w:rsidRDefault="004056A0" w:rsidP="004056A0">
      <w:pPr>
        <w:jc w:val="both"/>
        <w:rPr>
          <w:rFonts w:ascii="Helvetica" w:hAnsi="Helvetica" w:cs="Helvetica"/>
          <w:lang w:val="fr-FR"/>
        </w:rPr>
      </w:pPr>
    </w:p>
    <w:p w14:paraId="17483BF5" w14:textId="77777777" w:rsidR="004056A0" w:rsidRPr="00655FD1" w:rsidRDefault="004056A0" w:rsidP="004056A0">
      <w:pPr>
        <w:jc w:val="both"/>
        <w:rPr>
          <w:rFonts w:ascii="Helvetica" w:hAnsi="Helvetica" w:cs="Helvetica"/>
          <w:lang w:val="fr-FR"/>
        </w:rPr>
      </w:pPr>
      <w:r w:rsidRPr="00655FD1">
        <w:rPr>
          <w:rFonts w:ascii="Helvetica" w:hAnsi="Helvetica" w:cs="Helvetica"/>
          <w:lang w:val="fr-FR"/>
        </w:rPr>
        <w:t>La nouvelle organisation, sur une base départementale, ne doit pas constituer une régression.  Le libre choix du service d’enquête, la direction des enquêtes par les magistrats et le respect du secret de l’enquête et de l’instruction sont des principes dont le Conseil supérieur de la magistrature a tenu à rappeler solennellement l’importance dans sa communication du 26 octobre 2022.</w:t>
      </w:r>
    </w:p>
    <w:p w14:paraId="4930D189" w14:textId="77777777" w:rsidR="004056A0" w:rsidRPr="00655FD1" w:rsidRDefault="004056A0" w:rsidP="004056A0">
      <w:pPr>
        <w:jc w:val="both"/>
        <w:rPr>
          <w:rFonts w:ascii="Helvetica" w:hAnsi="Helvetica" w:cs="Helvetica"/>
          <w:lang w:val="fr-FR"/>
        </w:rPr>
      </w:pPr>
    </w:p>
    <w:p w14:paraId="70E36310" w14:textId="77777777" w:rsidR="004056A0" w:rsidRPr="00655FD1" w:rsidRDefault="004056A0" w:rsidP="004056A0">
      <w:pPr>
        <w:jc w:val="both"/>
        <w:rPr>
          <w:rFonts w:ascii="Helvetica" w:hAnsi="Helvetica" w:cs="Helvetica"/>
          <w:lang w:val="fr-FR"/>
        </w:rPr>
      </w:pPr>
      <w:r w:rsidRPr="00655FD1">
        <w:rPr>
          <w:rFonts w:ascii="Helvetica" w:hAnsi="Helvetica" w:cs="Helvetica"/>
          <w:lang w:val="fr-FR"/>
        </w:rPr>
        <w:t xml:space="preserve">Cet amendement a fait l’objet d’un travail avec </w:t>
      </w:r>
      <w:proofErr w:type="spellStart"/>
      <w:r w:rsidRPr="00655FD1">
        <w:rPr>
          <w:rFonts w:ascii="Helvetica" w:hAnsi="Helvetica" w:cs="Helvetica"/>
          <w:lang w:val="fr-FR"/>
        </w:rPr>
        <w:t>Transparency</w:t>
      </w:r>
      <w:proofErr w:type="spellEnd"/>
      <w:r w:rsidRPr="00655FD1">
        <w:rPr>
          <w:rFonts w:ascii="Helvetica" w:hAnsi="Helvetica" w:cs="Helvetica"/>
          <w:lang w:val="fr-FR"/>
        </w:rPr>
        <w:t xml:space="preserve"> International France</w:t>
      </w:r>
    </w:p>
    <w:p w14:paraId="184FE7BD" w14:textId="5E5C4509" w:rsidR="004056A0" w:rsidRPr="00655FD1" w:rsidRDefault="004056A0">
      <w:pPr>
        <w:rPr>
          <w:rFonts w:ascii="Helvetica" w:hAnsi="Helvetica" w:cs="Helvetica"/>
          <w:b/>
          <w:bCs/>
          <w:lang w:val="fr-FR"/>
        </w:rPr>
      </w:pPr>
    </w:p>
    <w:p w14:paraId="7BFC8AB4" w14:textId="77777777" w:rsidR="004056A0" w:rsidRPr="00655FD1" w:rsidRDefault="004056A0" w:rsidP="00E92675">
      <w:pPr>
        <w:jc w:val="center"/>
        <w:rPr>
          <w:rFonts w:ascii="Helvetica" w:hAnsi="Helvetica" w:cs="Helvetica"/>
          <w:b/>
          <w:bCs/>
          <w:lang w:val="fr-FR"/>
        </w:rPr>
      </w:pPr>
    </w:p>
    <w:p w14:paraId="0988FC06" w14:textId="11785408" w:rsidR="004056A0" w:rsidRPr="00655FD1" w:rsidRDefault="004056A0">
      <w:pPr>
        <w:rPr>
          <w:rFonts w:ascii="Helvetica" w:hAnsi="Helvetica" w:cs="Helvetica"/>
          <w:b/>
          <w:bCs/>
          <w:lang w:val="fr-FR"/>
        </w:rPr>
      </w:pPr>
    </w:p>
    <w:p w14:paraId="33BADD0E" w14:textId="74234E8A" w:rsidR="00E92675" w:rsidRPr="00655FD1" w:rsidRDefault="00E92675" w:rsidP="00E92675">
      <w:pPr>
        <w:jc w:val="center"/>
        <w:rPr>
          <w:rFonts w:ascii="Helvetica" w:hAnsi="Helvetica" w:cs="Helvetica"/>
          <w:b/>
          <w:bCs/>
          <w:lang w:val="fr-FR"/>
        </w:rPr>
      </w:pPr>
      <w:r w:rsidRPr="00655FD1">
        <w:rPr>
          <w:rFonts w:ascii="Helvetica" w:hAnsi="Helvetica" w:cs="Helvetica"/>
          <w:b/>
          <w:bCs/>
          <w:lang w:val="fr-FR"/>
        </w:rPr>
        <w:t xml:space="preserve">PROJET DE LOI D’ORIENTATION ET DE PROGRAMMATION </w:t>
      </w:r>
    </w:p>
    <w:p w14:paraId="22BF248D" w14:textId="77777777" w:rsidR="00E92675" w:rsidRPr="00655FD1" w:rsidRDefault="00E92675" w:rsidP="00E92675">
      <w:pPr>
        <w:jc w:val="center"/>
        <w:rPr>
          <w:rFonts w:ascii="Helvetica" w:hAnsi="Helvetica" w:cs="Helvetica"/>
          <w:b/>
          <w:bCs/>
          <w:lang w:val="fr-FR"/>
        </w:rPr>
      </w:pPr>
      <w:r w:rsidRPr="00655FD1">
        <w:rPr>
          <w:rFonts w:ascii="Helvetica" w:hAnsi="Helvetica" w:cs="Helvetica"/>
          <w:b/>
          <w:bCs/>
          <w:lang w:val="fr-FR"/>
        </w:rPr>
        <w:t>DU MINISTERE DE LA JUSTICE 2023-2027</w:t>
      </w:r>
    </w:p>
    <w:p w14:paraId="19E9ED1F" w14:textId="77777777" w:rsidR="00E92675" w:rsidRPr="00655FD1" w:rsidRDefault="00E92675" w:rsidP="00E92675">
      <w:pPr>
        <w:jc w:val="center"/>
        <w:rPr>
          <w:rFonts w:ascii="Helvetica" w:hAnsi="Helvetica" w:cs="Helvetica"/>
          <w:b/>
          <w:bCs/>
          <w:lang w:val="fr-FR"/>
        </w:rPr>
      </w:pPr>
    </w:p>
    <w:p w14:paraId="3E3A8512" w14:textId="77777777" w:rsidR="00E92675" w:rsidRPr="00655FD1" w:rsidRDefault="00E92675" w:rsidP="00E92675">
      <w:pPr>
        <w:jc w:val="center"/>
        <w:rPr>
          <w:rFonts w:ascii="Helvetica" w:hAnsi="Helvetica" w:cs="Helvetica"/>
          <w:b/>
          <w:bCs/>
          <w:lang w:val="fr-FR"/>
        </w:rPr>
      </w:pPr>
      <w:r w:rsidRPr="00655FD1">
        <w:rPr>
          <w:rFonts w:ascii="Helvetica" w:hAnsi="Helvetica" w:cs="Helvetica"/>
          <w:b/>
          <w:bCs/>
          <w:lang w:val="fr-FR"/>
        </w:rPr>
        <w:t>Amendement</w:t>
      </w:r>
    </w:p>
    <w:p w14:paraId="660FCFF7" w14:textId="77777777" w:rsidR="00E92675" w:rsidRPr="00655FD1" w:rsidRDefault="00E92675" w:rsidP="00E92675">
      <w:pPr>
        <w:rPr>
          <w:rFonts w:ascii="Helvetica" w:hAnsi="Helvetica" w:cs="Helvetica"/>
          <w:lang w:val="fr-FR"/>
        </w:rPr>
      </w:pPr>
    </w:p>
    <w:p w14:paraId="07AA1B10" w14:textId="4D7087F8" w:rsidR="00E92675" w:rsidRPr="00655FD1" w:rsidRDefault="00E92675" w:rsidP="00E92675">
      <w:pPr>
        <w:jc w:val="center"/>
        <w:rPr>
          <w:rFonts w:ascii="Helvetica" w:hAnsi="Helvetica" w:cs="Helvetica"/>
          <w:lang w:val="fr-FR"/>
        </w:rPr>
      </w:pPr>
      <w:r w:rsidRPr="00655FD1">
        <w:rPr>
          <w:rFonts w:ascii="Helvetica" w:hAnsi="Helvetica" w:cs="Helvetica"/>
          <w:lang w:val="fr-FR"/>
        </w:rPr>
        <w:t>Article 3</w:t>
      </w:r>
    </w:p>
    <w:p w14:paraId="23DCF09B" w14:textId="77777777" w:rsidR="00E92675" w:rsidRPr="00655FD1" w:rsidRDefault="00E92675" w:rsidP="00E92675">
      <w:pPr>
        <w:jc w:val="both"/>
        <w:rPr>
          <w:rFonts w:ascii="Helvetica" w:hAnsi="Helvetica" w:cs="Helvetica"/>
          <w:lang w:val="fr-FR"/>
        </w:rPr>
      </w:pPr>
    </w:p>
    <w:p w14:paraId="4CA8D533" w14:textId="20CF9DA3" w:rsidR="00E92675" w:rsidRPr="00655FD1" w:rsidRDefault="00E92675" w:rsidP="00E92675">
      <w:pPr>
        <w:rPr>
          <w:rFonts w:ascii="Helvetica" w:hAnsi="Helvetica" w:cs="Helvetica"/>
          <w:u w:val="single"/>
          <w:lang w:val="fr-FR"/>
        </w:rPr>
      </w:pPr>
      <w:r w:rsidRPr="00655FD1">
        <w:rPr>
          <w:rFonts w:ascii="Helvetica" w:hAnsi="Helvetica" w:cs="Helvetica"/>
          <w:lang w:val="fr-FR"/>
        </w:rPr>
        <w:t xml:space="preserve">I. </w:t>
      </w:r>
      <w:r w:rsidR="00190729" w:rsidRPr="00655FD1">
        <w:rPr>
          <w:rFonts w:ascii="Helvetica" w:hAnsi="Helvetica" w:cs="Helvetica"/>
          <w:i/>
          <w:iCs/>
          <w:lang w:val="fr-FR"/>
        </w:rPr>
        <w:t>[Texte pas encore pastillé</w:t>
      </w:r>
      <w:r w:rsidR="003D7219" w:rsidRPr="00655FD1">
        <w:rPr>
          <w:rFonts w:ascii="Helvetica" w:hAnsi="Helvetica" w:cs="Helvetica"/>
          <w:i/>
          <w:iCs/>
          <w:lang w:val="fr-FR"/>
        </w:rPr>
        <w:t>. Après le 11</w:t>
      </w:r>
      <w:r w:rsidR="003D7219" w:rsidRPr="00655FD1">
        <w:rPr>
          <w:rFonts w:ascii="Helvetica" w:hAnsi="Helvetica" w:cs="Helvetica"/>
          <w:i/>
          <w:iCs/>
          <w:vertAlign w:val="superscript"/>
          <w:lang w:val="fr-FR"/>
        </w:rPr>
        <w:t>ème</w:t>
      </w:r>
      <w:r w:rsidR="003D7219" w:rsidRPr="00655FD1">
        <w:rPr>
          <w:rFonts w:ascii="Helvetica" w:hAnsi="Helvetica" w:cs="Helvetica"/>
          <w:i/>
          <w:iCs/>
          <w:lang w:val="fr-FR"/>
        </w:rPr>
        <w:t xml:space="preserve"> alinéa</w:t>
      </w:r>
      <w:r w:rsidR="00190729" w:rsidRPr="00655FD1">
        <w:rPr>
          <w:rFonts w:ascii="Helvetica" w:hAnsi="Helvetica" w:cs="Helvetica"/>
          <w:i/>
          <w:iCs/>
          <w:lang w:val="fr-FR"/>
        </w:rPr>
        <w:t>]</w:t>
      </w:r>
      <w:r w:rsidR="00190729" w:rsidRPr="00655FD1">
        <w:rPr>
          <w:rFonts w:ascii="Helvetica" w:hAnsi="Helvetica" w:cs="Helvetica"/>
          <w:lang w:val="fr-FR"/>
        </w:rPr>
        <w:t xml:space="preserve"> </w:t>
      </w:r>
      <w:r w:rsidRPr="00655FD1">
        <w:rPr>
          <w:rFonts w:ascii="Helvetica" w:hAnsi="Helvetica" w:cs="Helvetica"/>
          <w:lang w:val="fr-FR"/>
        </w:rPr>
        <w:t>Au 2bis de l’article 3 après le c),</w:t>
      </w:r>
      <w:r w:rsidRPr="00655FD1">
        <w:rPr>
          <w:rFonts w:ascii="Helvetica" w:hAnsi="Helvetica" w:cs="Helvetica"/>
          <w:u w:val="single"/>
          <w:lang w:val="fr-FR"/>
        </w:rPr>
        <w:t xml:space="preserve"> </w:t>
      </w:r>
      <w:r w:rsidRPr="00655FD1">
        <w:rPr>
          <w:rFonts w:ascii="Helvetica" w:hAnsi="Helvetica" w:cs="Helvetica"/>
          <w:lang w:val="fr-FR"/>
        </w:rPr>
        <w:t xml:space="preserve">compléter le quatrième alinéa de l’article 75-3 du code de procédure pénale par la phrase ainsi rédigée : </w:t>
      </w:r>
    </w:p>
    <w:p w14:paraId="0407F3AD" w14:textId="77777777" w:rsidR="00E92675" w:rsidRPr="00655FD1" w:rsidRDefault="00E92675" w:rsidP="00E92675">
      <w:pPr>
        <w:rPr>
          <w:rFonts w:ascii="Helvetica" w:hAnsi="Helvetica" w:cs="Helvetica"/>
          <w:lang w:val="fr-FR"/>
        </w:rPr>
      </w:pPr>
      <w:r w:rsidRPr="00655FD1">
        <w:rPr>
          <w:rFonts w:ascii="Helvetica" w:hAnsi="Helvetica" w:cs="Helvetica"/>
          <w:lang w:val="fr-FR"/>
        </w:rPr>
        <w:t xml:space="preserve"> « Ces délais sont également portés à trois ans et à deux ans lorsque l'enquête porte sur des délits mentionnés aux articles 1741 et 1743 du code général des impôts, aux articles 433-1, 433-2 et 435-1 à 435-10 du code pénal ainsi que sur le blanchiment de ces délits. »</w:t>
      </w:r>
    </w:p>
    <w:p w14:paraId="09976C0D" w14:textId="051EA9A6" w:rsidR="00E92675" w:rsidRPr="00655FD1" w:rsidRDefault="00E92675" w:rsidP="00E92675">
      <w:pPr>
        <w:rPr>
          <w:rFonts w:ascii="Helvetica" w:hAnsi="Helvetica" w:cs="Helvetica"/>
          <w:lang w:val="fr-FR"/>
        </w:rPr>
      </w:pPr>
      <w:r w:rsidRPr="00655FD1">
        <w:rPr>
          <w:rFonts w:ascii="Helvetica" w:hAnsi="Helvetica" w:cs="Helvetica"/>
          <w:lang w:val="fr-FR"/>
        </w:rPr>
        <w:t xml:space="preserve">II. </w:t>
      </w:r>
      <w:r w:rsidR="00190729" w:rsidRPr="00655FD1">
        <w:rPr>
          <w:rFonts w:ascii="Helvetica" w:hAnsi="Helvetica" w:cs="Helvetica"/>
          <w:i/>
          <w:iCs/>
          <w:lang w:val="fr-FR"/>
        </w:rPr>
        <w:t>[Texte pas encore pastillé</w:t>
      </w:r>
      <w:r w:rsidR="00C87F79" w:rsidRPr="00655FD1">
        <w:rPr>
          <w:rFonts w:ascii="Helvetica" w:hAnsi="Helvetica" w:cs="Helvetica"/>
          <w:i/>
          <w:iCs/>
          <w:lang w:val="fr-FR"/>
        </w:rPr>
        <w:t>-Alinéa 15</w:t>
      </w:r>
      <w:r w:rsidR="00190729" w:rsidRPr="00655FD1">
        <w:rPr>
          <w:rFonts w:ascii="Helvetica" w:hAnsi="Helvetica" w:cs="Helvetica"/>
          <w:lang w:val="fr-FR"/>
        </w:rPr>
        <w:t xml:space="preserve">] </w:t>
      </w:r>
      <w:r w:rsidRPr="00655FD1">
        <w:rPr>
          <w:rFonts w:ascii="Helvetica" w:hAnsi="Helvetica" w:cs="Helvetica"/>
          <w:lang w:val="fr-FR"/>
        </w:rPr>
        <w:t xml:space="preserve">Au 2° ter modifiant le V. de l’article 77-2 du code de procédure pénale, </w:t>
      </w:r>
      <w:r w:rsidR="00D45681" w:rsidRPr="00655FD1">
        <w:rPr>
          <w:rFonts w:ascii="Helvetica" w:hAnsi="Helvetica" w:cs="Helvetica"/>
          <w:lang w:val="fr-FR"/>
        </w:rPr>
        <w:t>r</w:t>
      </w:r>
      <w:r w:rsidRPr="00655FD1">
        <w:rPr>
          <w:rFonts w:ascii="Helvetica" w:hAnsi="Helvetica" w:cs="Helvetica"/>
          <w:lang w:val="fr-FR"/>
        </w:rPr>
        <w:t>emplacer les mots « le délai de deux ans est porté à trois ans si l’enquête porte sur des crimes ou délits mentionnés aux articles 706-73 ou 706-73-1 ou relevant de la compétence du procureur de la République antiterroriste » par les mots :</w:t>
      </w:r>
    </w:p>
    <w:p w14:paraId="1118EF64" w14:textId="77777777" w:rsidR="00E92675" w:rsidRPr="00655FD1" w:rsidRDefault="00E92675" w:rsidP="00E92675">
      <w:pPr>
        <w:rPr>
          <w:rFonts w:ascii="Helvetica" w:hAnsi="Helvetica" w:cs="Helvetica"/>
          <w:lang w:val="fr-FR"/>
        </w:rPr>
      </w:pPr>
      <w:r w:rsidRPr="00655FD1">
        <w:rPr>
          <w:rFonts w:ascii="Helvetica" w:hAnsi="Helvetica" w:cs="Helvetica"/>
          <w:lang w:val="fr-FR"/>
        </w:rPr>
        <w:t xml:space="preserve">« </w:t>
      </w:r>
      <w:proofErr w:type="gramStart"/>
      <w:r w:rsidRPr="00655FD1">
        <w:rPr>
          <w:rFonts w:ascii="Helvetica" w:hAnsi="Helvetica" w:cs="Helvetica"/>
          <w:lang w:val="fr-FR"/>
        </w:rPr>
        <w:t>le</w:t>
      </w:r>
      <w:proofErr w:type="gramEnd"/>
      <w:r w:rsidRPr="00655FD1">
        <w:rPr>
          <w:rFonts w:ascii="Helvetica" w:hAnsi="Helvetica" w:cs="Helvetica"/>
          <w:lang w:val="fr-FR"/>
        </w:rPr>
        <w:t xml:space="preserve"> délai de deux ans est porté à trois ans si l’enquête porte sur des crimes ou délits mentionnés aux articles 706-73, 706-73-1 du code procédure pénale, aux articles 433-1, 433-2 et 435-1 à 435-10 du code pénal, aux articles 706-73, 706-73-1 du code général des impôts ou relevant de la compétence du procureur de la République antiterroriste.</w:t>
      </w:r>
    </w:p>
    <w:p w14:paraId="09232C3B" w14:textId="77777777" w:rsidR="00E92675" w:rsidRPr="00655FD1" w:rsidRDefault="00E92675" w:rsidP="00440E26">
      <w:pPr>
        <w:jc w:val="both"/>
        <w:rPr>
          <w:rFonts w:ascii="Helvetica" w:hAnsi="Helvetica" w:cs="Helvetica"/>
          <w:lang w:val="fr-FR"/>
        </w:rPr>
      </w:pPr>
    </w:p>
    <w:p w14:paraId="1D648123" w14:textId="2EC772DA" w:rsidR="00E92675" w:rsidRPr="00655FD1" w:rsidRDefault="00C87F79" w:rsidP="003F52F5">
      <w:pPr>
        <w:jc w:val="center"/>
        <w:rPr>
          <w:rFonts w:ascii="Helvetica" w:hAnsi="Helvetica" w:cs="Helvetica"/>
          <w:u w:val="single"/>
          <w:lang w:val="fr-FR"/>
        </w:rPr>
      </w:pPr>
      <w:r w:rsidRPr="00655FD1">
        <w:rPr>
          <w:rFonts w:ascii="Helvetica" w:hAnsi="Helvetica" w:cs="Helvetica"/>
          <w:u w:val="single"/>
          <w:lang w:val="fr-FR"/>
        </w:rPr>
        <w:t>Exposé des motifs</w:t>
      </w:r>
    </w:p>
    <w:p w14:paraId="55B447C1" w14:textId="77777777" w:rsidR="00E01FA7" w:rsidRPr="00655FD1" w:rsidRDefault="008549CB" w:rsidP="00440E26">
      <w:pPr>
        <w:jc w:val="both"/>
        <w:rPr>
          <w:rFonts w:ascii="Helvetica" w:hAnsi="Helvetica" w:cs="Helvetica"/>
          <w:lang w:val="fr-FR"/>
        </w:rPr>
      </w:pPr>
      <w:r w:rsidRPr="00655FD1">
        <w:rPr>
          <w:rFonts w:ascii="Helvetica" w:hAnsi="Helvetica" w:cs="Helvetica"/>
          <w:lang w:val="fr-FR"/>
        </w:rPr>
        <w:t>Dix-huit mois après la promulgation de la loi</w:t>
      </w:r>
      <w:r w:rsidR="00C87F79" w:rsidRPr="00655FD1">
        <w:rPr>
          <w:rFonts w:ascii="Helvetica" w:hAnsi="Helvetica" w:cs="Helvetica"/>
          <w:lang w:val="fr-FR"/>
        </w:rPr>
        <w:t xml:space="preserve"> </w:t>
      </w:r>
      <w:r w:rsidR="000E44AA" w:rsidRPr="00655FD1">
        <w:rPr>
          <w:rFonts w:ascii="Helvetica" w:hAnsi="Helvetica" w:cs="Helvetica"/>
          <w:lang w:val="fr-FR"/>
        </w:rPr>
        <w:t>du 22 décembre 2021 pour la confiance dans l’institution judiciaire</w:t>
      </w:r>
      <w:r w:rsidRPr="00655FD1">
        <w:rPr>
          <w:rFonts w:ascii="Helvetica" w:hAnsi="Helvetica" w:cs="Helvetica"/>
          <w:lang w:val="fr-FR"/>
        </w:rPr>
        <w:t xml:space="preserve">, la volonté d’encadrer la durée des enquêtes préliminaires se heurte aujourd’hui à la réalité de la longueur des enquêtes. </w:t>
      </w:r>
    </w:p>
    <w:p w14:paraId="2842E8B2" w14:textId="4978C183" w:rsidR="005E1440" w:rsidRPr="00655FD1" w:rsidRDefault="008549CB" w:rsidP="00440E26">
      <w:pPr>
        <w:jc w:val="both"/>
        <w:rPr>
          <w:rFonts w:ascii="Helvetica" w:hAnsi="Helvetica" w:cs="Helvetica"/>
          <w:lang w:val="fr-FR"/>
        </w:rPr>
      </w:pPr>
      <w:r w:rsidRPr="00655FD1">
        <w:rPr>
          <w:rFonts w:ascii="Helvetica" w:hAnsi="Helvetica" w:cs="Helvetica"/>
          <w:lang w:val="fr-FR"/>
        </w:rPr>
        <w:t>Faute d’avoir tenu compte des alertes exprimées dès 2021, le garde des sceaux doit aujourd’hui prendre acte de la réalité vécu</w:t>
      </w:r>
      <w:r w:rsidR="005E1440" w:rsidRPr="00655FD1">
        <w:rPr>
          <w:rFonts w:ascii="Helvetica" w:hAnsi="Helvetica" w:cs="Helvetica"/>
          <w:lang w:val="fr-FR"/>
        </w:rPr>
        <w:t>e</w:t>
      </w:r>
      <w:r w:rsidRPr="00655FD1">
        <w:rPr>
          <w:rFonts w:ascii="Helvetica" w:hAnsi="Helvetica" w:cs="Helvetica"/>
          <w:lang w:val="fr-FR"/>
        </w:rPr>
        <w:t xml:space="preserve"> </w:t>
      </w:r>
      <w:r w:rsidR="00C53C5A" w:rsidRPr="00655FD1">
        <w:rPr>
          <w:rFonts w:ascii="Helvetica" w:hAnsi="Helvetica" w:cs="Helvetica"/>
          <w:lang w:val="fr-FR"/>
        </w:rPr>
        <w:t xml:space="preserve">dans </w:t>
      </w:r>
      <w:r w:rsidRPr="00655FD1">
        <w:rPr>
          <w:rFonts w:ascii="Helvetica" w:hAnsi="Helvetica" w:cs="Helvetica"/>
          <w:lang w:val="fr-FR"/>
        </w:rPr>
        <w:t xml:space="preserve">les juridictions et </w:t>
      </w:r>
      <w:r w:rsidR="00C53C5A" w:rsidRPr="00655FD1">
        <w:rPr>
          <w:rFonts w:ascii="Helvetica" w:hAnsi="Helvetica" w:cs="Helvetica"/>
          <w:lang w:val="fr-FR"/>
        </w:rPr>
        <w:t xml:space="preserve">par </w:t>
      </w:r>
      <w:r w:rsidRPr="00655FD1">
        <w:rPr>
          <w:rFonts w:ascii="Helvetica" w:hAnsi="Helvetica" w:cs="Helvetica"/>
          <w:lang w:val="fr-FR"/>
        </w:rPr>
        <w:t>les enquêteurs.</w:t>
      </w:r>
      <w:r w:rsidR="00E01FA7" w:rsidRPr="00655FD1">
        <w:rPr>
          <w:rFonts w:ascii="Helvetica" w:hAnsi="Helvetica" w:cs="Helvetica"/>
          <w:lang w:val="fr-FR"/>
        </w:rPr>
        <w:t xml:space="preserve"> </w:t>
      </w:r>
      <w:r w:rsidRPr="00655FD1">
        <w:rPr>
          <w:rFonts w:ascii="Helvetica" w:hAnsi="Helvetica" w:cs="Helvetica"/>
          <w:lang w:val="fr-FR"/>
        </w:rPr>
        <w:t xml:space="preserve">A cette fin, le garde des sceaux a </w:t>
      </w:r>
      <w:r w:rsidR="00E01FA7" w:rsidRPr="00655FD1">
        <w:rPr>
          <w:rFonts w:ascii="Helvetica" w:hAnsi="Helvetica" w:cs="Helvetica"/>
          <w:lang w:val="fr-FR"/>
        </w:rPr>
        <w:t xml:space="preserve">proposé au Sénat un </w:t>
      </w:r>
      <w:r w:rsidRPr="00655FD1">
        <w:rPr>
          <w:rFonts w:ascii="Helvetica" w:hAnsi="Helvetica" w:cs="Helvetica"/>
          <w:lang w:val="fr-FR"/>
        </w:rPr>
        <w:t xml:space="preserve">dispositif qui répond en partie aux préoccupations formulées par les juridictions, les magistrats et la société civile. </w:t>
      </w:r>
    </w:p>
    <w:p w14:paraId="29E5B780" w14:textId="25FE71C1" w:rsidR="008549CB" w:rsidRPr="00655FD1" w:rsidRDefault="00F43D12" w:rsidP="00440E26">
      <w:pPr>
        <w:jc w:val="both"/>
        <w:rPr>
          <w:rFonts w:ascii="Helvetica" w:hAnsi="Helvetica" w:cs="Helvetica"/>
          <w:lang w:val="fr-FR"/>
        </w:rPr>
      </w:pPr>
      <w:r w:rsidRPr="00655FD1">
        <w:rPr>
          <w:rFonts w:ascii="Helvetica" w:hAnsi="Helvetica" w:cs="Helvetica"/>
          <w:lang w:val="fr-FR"/>
        </w:rPr>
        <w:t>L’amendement</w:t>
      </w:r>
      <w:r w:rsidR="008549CB" w:rsidRPr="00655FD1">
        <w:rPr>
          <w:rFonts w:ascii="Helvetica" w:hAnsi="Helvetica" w:cs="Helvetica"/>
          <w:lang w:val="fr-FR"/>
        </w:rPr>
        <w:t xml:space="preserve"> du gouvernement améliore très significativement la rédaction de l’article </w:t>
      </w:r>
      <w:r w:rsidR="005E1440" w:rsidRPr="00655FD1">
        <w:rPr>
          <w:rFonts w:ascii="Helvetica" w:hAnsi="Helvetica" w:cs="Helvetica"/>
          <w:lang w:val="fr-FR"/>
        </w:rPr>
        <w:t xml:space="preserve">75-3 du code de procédure pénale </w:t>
      </w:r>
      <w:r w:rsidR="009B5251" w:rsidRPr="00655FD1">
        <w:rPr>
          <w:rFonts w:ascii="Helvetica" w:hAnsi="Helvetica" w:cs="Helvetica"/>
          <w:lang w:val="fr-FR"/>
        </w:rPr>
        <w:t xml:space="preserve">en transformant la durée-couperet </w:t>
      </w:r>
      <w:r w:rsidR="005E1440" w:rsidRPr="00655FD1">
        <w:rPr>
          <w:rFonts w:ascii="Helvetica" w:hAnsi="Helvetica" w:cs="Helvetica"/>
          <w:lang w:val="fr-FR"/>
        </w:rPr>
        <w:t xml:space="preserve">imposée à toutes les procédures en une </w:t>
      </w:r>
      <w:r w:rsidR="009B5251" w:rsidRPr="00655FD1">
        <w:rPr>
          <w:rFonts w:ascii="Helvetica" w:hAnsi="Helvetica" w:cs="Helvetica"/>
          <w:lang w:val="fr-FR"/>
        </w:rPr>
        <w:t>possibilité donnée aux mis en cause d’obtenir la fin d’une enquête préliminaire</w:t>
      </w:r>
      <w:r w:rsidR="00C1618B" w:rsidRPr="00655FD1">
        <w:rPr>
          <w:rFonts w:ascii="Helvetica" w:hAnsi="Helvetica" w:cs="Helvetica"/>
          <w:lang w:val="fr-FR"/>
        </w:rPr>
        <w:t>,</w:t>
      </w:r>
      <w:r w:rsidR="009B5251" w:rsidRPr="00655FD1">
        <w:rPr>
          <w:rFonts w:ascii="Helvetica" w:hAnsi="Helvetica" w:cs="Helvetica"/>
          <w:lang w:val="fr-FR"/>
        </w:rPr>
        <w:t xml:space="preserve"> passé un certain délai. Pour les enquêtes longues, et à titre exceptionnel, l’amendement du gouvernement prévoit la possibilité de les allonger selon une formule complexe d’une année, puis d’une année supplémentaire, soit cinq ans.</w:t>
      </w:r>
      <w:r w:rsidR="005E1440" w:rsidRPr="00655FD1">
        <w:rPr>
          <w:rFonts w:ascii="Helvetica" w:hAnsi="Helvetica" w:cs="Helvetica"/>
          <w:lang w:val="fr-FR"/>
        </w:rPr>
        <w:t xml:space="preserve"> </w:t>
      </w:r>
    </w:p>
    <w:p w14:paraId="392321F6" w14:textId="77777777" w:rsidR="00F43D12" w:rsidRPr="00655FD1" w:rsidRDefault="009B5251" w:rsidP="00440E26">
      <w:pPr>
        <w:jc w:val="both"/>
        <w:rPr>
          <w:rFonts w:ascii="Helvetica" w:hAnsi="Helvetica" w:cs="Helvetica"/>
          <w:lang w:val="fr-FR"/>
        </w:rPr>
      </w:pPr>
      <w:r w:rsidRPr="00655FD1">
        <w:rPr>
          <w:rFonts w:ascii="Helvetica" w:hAnsi="Helvetica" w:cs="Helvetica"/>
          <w:lang w:val="fr-FR"/>
        </w:rPr>
        <w:t>La solution du gouvernement semble inutilement complexe</w:t>
      </w:r>
      <w:r w:rsidR="005E1440" w:rsidRPr="00655FD1">
        <w:rPr>
          <w:rFonts w:ascii="Helvetica" w:hAnsi="Helvetica" w:cs="Helvetica"/>
          <w:lang w:val="fr-FR"/>
        </w:rPr>
        <w:t xml:space="preserve"> (durée </w:t>
      </w:r>
      <w:r w:rsidR="00E82B06" w:rsidRPr="00655FD1">
        <w:rPr>
          <w:rFonts w:ascii="Helvetica" w:hAnsi="Helvetica" w:cs="Helvetica"/>
          <w:lang w:val="fr-FR"/>
        </w:rPr>
        <w:t xml:space="preserve">maximum </w:t>
      </w:r>
      <w:r w:rsidR="005E1440" w:rsidRPr="00655FD1">
        <w:rPr>
          <w:rFonts w:ascii="Helvetica" w:hAnsi="Helvetica" w:cs="Helvetica"/>
          <w:lang w:val="fr-FR"/>
        </w:rPr>
        <w:t>de 2 ans</w:t>
      </w:r>
      <w:r w:rsidR="00C1618B" w:rsidRPr="00655FD1">
        <w:rPr>
          <w:rFonts w:ascii="Helvetica" w:hAnsi="Helvetica" w:cs="Helvetica"/>
          <w:lang w:val="fr-FR"/>
        </w:rPr>
        <w:t xml:space="preserve"> </w:t>
      </w:r>
      <w:r w:rsidR="005E1440" w:rsidRPr="00655FD1">
        <w:rPr>
          <w:rFonts w:ascii="Helvetica" w:hAnsi="Helvetica" w:cs="Helvetica"/>
          <w:lang w:val="fr-FR"/>
        </w:rPr>
        <w:t>+1 an</w:t>
      </w:r>
      <w:r w:rsidR="00C1618B" w:rsidRPr="00655FD1">
        <w:rPr>
          <w:rFonts w:ascii="Helvetica" w:hAnsi="Helvetica" w:cs="Helvetica"/>
          <w:lang w:val="fr-FR"/>
        </w:rPr>
        <w:t xml:space="preserve"> </w:t>
      </w:r>
      <w:r w:rsidR="005E1440" w:rsidRPr="00655FD1">
        <w:rPr>
          <w:rFonts w:ascii="Helvetica" w:hAnsi="Helvetica" w:cs="Helvetica"/>
          <w:lang w:val="fr-FR"/>
        </w:rPr>
        <w:t>+1 an</w:t>
      </w:r>
      <w:r w:rsidR="00C1618B" w:rsidRPr="00655FD1">
        <w:rPr>
          <w:rFonts w:ascii="Helvetica" w:hAnsi="Helvetica" w:cs="Helvetica"/>
          <w:lang w:val="fr-FR"/>
        </w:rPr>
        <w:t xml:space="preserve"> </w:t>
      </w:r>
      <w:r w:rsidR="005E1440" w:rsidRPr="00655FD1">
        <w:rPr>
          <w:rFonts w:ascii="Helvetica" w:hAnsi="Helvetica" w:cs="Helvetica"/>
          <w:lang w:val="fr-FR"/>
        </w:rPr>
        <w:t>+1 an)</w:t>
      </w:r>
      <w:r w:rsidR="00F43D12" w:rsidRPr="00655FD1">
        <w:rPr>
          <w:rFonts w:ascii="Helvetica" w:hAnsi="Helvetica" w:cs="Helvetica"/>
          <w:lang w:val="fr-FR"/>
        </w:rPr>
        <w:t xml:space="preserve"> et </w:t>
      </w:r>
      <w:r w:rsidR="00C1618B" w:rsidRPr="00655FD1">
        <w:rPr>
          <w:rFonts w:ascii="Helvetica" w:hAnsi="Helvetica" w:cs="Helvetica"/>
          <w:lang w:val="fr-FR"/>
        </w:rPr>
        <w:t>c</w:t>
      </w:r>
      <w:r w:rsidR="005E1440" w:rsidRPr="00655FD1">
        <w:rPr>
          <w:rFonts w:ascii="Helvetica" w:hAnsi="Helvetica" w:cs="Helvetica"/>
          <w:lang w:val="fr-FR"/>
        </w:rPr>
        <w:t xml:space="preserve">ette </w:t>
      </w:r>
      <w:r w:rsidRPr="00655FD1">
        <w:rPr>
          <w:rFonts w:ascii="Helvetica" w:hAnsi="Helvetica" w:cs="Helvetica"/>
          <w:lang w:val="fr-FR"/>
        </w:rPr>
        <w:t xml:space="preserve">complexité procédurale </w:t>
      </w:r>
      <w:r w:rsidR="00F43D12" w:rsidRPr="00655FD1">
        <w:rPr>
          <w:rFonts w:ascii="Helvetica" w:hAnsi="Helvetica" w:cs="Helvetica"/>
          <w:lang w:val="fr-FR"/>
        </w:rPr>
        <w:t>est</w:t>
      </w:r>
      <w:r w:rsidR="00C1618B" w:rsidRPr="00655FD1">
        <w:rPr>
          <w:rFonts w:ascii="Helvetica" w:hAnsi="Helvetica" w:cs="Helvetica"/>
          <w:lang w:val="fr-FR"/>
        </w:rPr>
        <w:t xml:space="preserve"> susceptible de </w:t>
      </w:r>
      <w:r w:rsidRPr="00655FD1">
        <w:rPr>
          <w:rFonts w:ascii="Helvetica" w:hAnsi="Helvetica" w:cs="Helvetica"/>
          <w:lang w:val="fr-FR"/>
        </w:rPr>
        <w:t xml:space="preserve">fragiliser les enquêtes. </w:t>
      </w:r>
    </w:p>
    <w:p w14:paraId="6CBD843C" w14:textId="65228308" w:rsidR="004056A0" w:rsidRPr="00655FD1" w:rsidRDefault="009B5251" w:rsidP="00440E26">
      <w:pPr>
        <w:jc w:val="both"/>
        <w:rPr>
          <w:rFonts w:ascii="Helvetica" w:hAnsi="Helvetica" w:cs="Helvetica"/>
          <w:lang w:val="fr-FR"/>
        </w:rPr>
      </w:pPr>
      <w:r w:rsidRPr="00655FD1">
        <w:rPr>
          <w:rFonts w:ascii="Helvetica" w:hAnsi="Helvetica" w:cs="Helvetica"/>
          <w:lang w:val="fr-FR"/>
        </w:rPr>
        <w:lastRenderedPageBreak/>
        <w:t>Nous proposons donc que les atteintes à la probité et la fraude fiscale bénéficient du même régime dérogatoire</w:t>
      </w:r>
      <w:r w:rsidR="005E1440" w:rsidRPr="00655FD1">
        <w:rPr>
          <w:rFonts w:ascii="Helvetica" w:hAnsi="Helvetica" w:cs="Helvetica"/>
          <w:lang w:val="fr-FR"/>
        </w:rPr>
        <w:t xml:space="preserve"> (durée </w:t>
      </w:r>
      <w:r w:rsidR="00E82B06" w:rsidRPr="00655FD1">
        <w:rPr>
          <w:rFonts w:ascii="Helvetica" w:hAnsi="Helvetica" w:cs="Helvetica"/>
          <w:lang w:val="fr-FR"/>
        </w:rPr>
        <w:t xml:space="preserve">maximum </w:t>
      </w:r>
      <w:r w:rsidR="005E1440" w:rsidRPr="00655FD1">
        <w:rPr>
          <w:rFonts w:ascii="Helvetica" w:hAnsi="Helvetica" w:cs="Helvetica"/>
          <w:lang w:val="fr-FR"/>
        </w:rPr>
        <w:t>de 3 ans + 2 ans)</w:t>
      </w:r>
      <w:r w:rsidRPr="00655FD1">
        <w:rPr>
          <w:rFonts w:ascii="Helvetica" w:hAnsi="Helvetica" w:cs="Helvetica"/>
          <w:lang w:val="fr-FR"/>
        </w:rPr>
        <w:t xml:space="preserve"> que le terrorisme et les crimes et délits commis en bande organisée.</w:t>
      </w:r>
      <w:r w:rsidR="00C1618B" w:rsidRPr="00655FD1">
        <w:rPr>
          <w:rFonts w:ascii="Helvetica" w:hAnsi="Helvetica" w:cs="Helvetica"/>
          <w:lang w:val="fr-FR"/>
        </w:rPr>
        <w:t xml:space="preserve"> </w:t>
      </w:r>
    </w:p>
    <w:p w14:paraId="0CB0CB65" w14:textId="77777777" w:rsidR="000F258D" w:rsidRPr="00655FD1" w:rsidRDefault="000F258D" w:rsidP="000F258D">
      <w:pPr>
        <w:jc w:val="both"/>
        <w:rPr>
          <w:rFonts w:ascii="Helvetica" w:hAnsi="Helvetica" w:cs="Helvetica"/>
          <w:lang w:val="fr-FR"/>
        </w:rPr>
      </w:pPr>
      <w:r w:rsidRPr="00655FD1">
        <w:rPr>
          <w:rFonts w:ascii="Helvetica" w:hAnsi="Helvetica" w:cs="Helvetica"/>
          <w:lang w:val="fr-FR"/>
        </w:rPr>
        <w:t xml:space="preserve">Cet amendement a fait l’objet d’un travail avec </w:t>
      </w:r>
      <w:proofErr w:type="spellStart"/>
      <w:r w:rsidRPr="00655FD1">
        <w:rPr>
          <w:rFonts w:ascii="Helvetica" w:hAnsi="Helvetica" w:cs="Helvetica"/>
          <w:lang w:val="fr-FR"/>
        </w:rPr>
        <w:t>Transparency</w:t>
      </w:r>
      <w:proofErr w:type="spellEnd"/>
      <w:r w:rsidRPr="00655FD1">
        <w:rPr>
          <w:rFonts w:ascii="Helvetica" w:hAnsi="Helvetica" w:cs="Helvetica"/>
          <w:lang w:val="fr-FR"/>
        </w:rPr>
        <w:t xml:space="preserve"> International France.</w:t>
      </w:r>
    </w:p>
    <w:p w14:paraId="5A01A8AD" w14:textId="77777777" w:rsidR="000F258D" w:rsidRPr="00655FD1" w:rsidRDefault="000F258D" w:rsidP="00440E26">
      <w:pPr>
        <w:jc w:val="both"/>
        <w:rPr>
          <w:rFonts w:ascii="Helvetica" w:hAnsi="Helvetica" w:cs="Helvetica"/>
          <w:lang w:val="fr-FR"/>
        </w:rPr>
      </w:pPr>
    </w:p>
    <w:p w14:paraId="7809C250" w14:textId="77777777" w:rsidR="004056A0" w:rsidRPr="00655FD1" w:rsidRDefault="004056A0">
      <w:pPr>
        <w:rPr>
          <w:rFonts w:ascii="Helvetica" w:hAnsi="Helvetica" w:cs="Helvetica"/>
          <w:lang w:val="fr-FR"/>
        </w:rPr>
      </w:pPr>
      <w:r w:rsidRPr="00655FD1">
        <w:rPr>
          <w:rFonts w:ascii="Helvetica" w:hAnsi="Helvetica" w:cs="Helvetica"/>
          <w:lang w:val="fr-FR"/>
        </w:rPr>
        <w:br w:type="page"/>
      </w:r>
    </w:p>
    <w:p w14:paraId="5B4004EA" w14:textId="77777777" w:rsidR="000F258D" w:rsidRPr="00655FD1" w:rsidRDefault="000F258D" w:rsidP="000F258D">
      <w:pPr>
        <w:jc w:val="center"/>
        <w:rPr>
          <w:rFonts w:ascii="Helvetica" w:hAnsi="Helvetica" w:cs="Helvetica"/>
          <w:b/>
          <w:bCs/>
          <w:lang w:val="fr-FR"/>
        </w:rPr>
      </w:pPr>
      <w:r w:rsidRPr="00655FD1">
        <w:rPr>
          <w:rFonts w:ascii="Helvetica" w:hAnsi="Helvetica" w:cs="Helvetica"/>
          <w:b/>
          <w:bCs/>
          <w:lang w:val="fr-FR"/>
        </w:rPr>
        <w:lastRenderedPageBreak/>
        <w:t xml:space="preserve">PROJET DE LOI D’ORIENTATION ET DE PROGRAMMATION </w:t>
      </w:r>
    </w:p>
    <w:p w14:paraId="42095BDA" w14:textId="77777777" w:rsidR="000F258D" w:rsidRPr="00655FD1" w:rsidRDefault="000F258D" w:rsidP="000F258D">
      <w:pPr>
        <w:jc w:val="center"/>
        <w:rPr>
          <w:rFonts w:ascii="Helvetica" w:hAnsi="Helvetica" w:cs="Helvetica"/>
          <w:b/>
          <w:bCs/>
          <w:lang w:val="fr-FR"/>
        </w:rPr>
      </w:pPr>
      <w:r w:rsidRPr="00655FD1">
        <w:rPr>
          <w:rFonts w:ascii="Helvetica" w:hAnsi="Helvetica" w:cs="Helvetica"/>
          <w:b/>
          <w:bCs/>
          <w:lang w:val="fr-FR"/>
        </w:rPr>
        <w:t>DU MINISTERE DE LA JUSTICE 2023-2027</w:t>
      </w:r>
    </w:p>
    <w:p w14:paraId="7C1581AC" w14:textId="77777777" w:rsidR="000F258D" w:rsidRPr="00655FD1" w:rsidRDefault="000F258D" w:rsidP="000F258D">
      <w:pPr>
        <w:jc w:val="center"/>
        <w:rPr>
          <w:rFonts w:ascii="Helvetica" w:hAnsi="Helvetica" w:cs="Helvetica"/>
          <w:b/>
          <w:bCs/>
          <w:lang w:val="fr-FR"/>
        </w:rPr>
      </w:pPr>
    </w:p>
    <w:p w14:paraId="6F0E16BA" w14:textId="13D24312" w:rsidR="000F258D" w:rsidRPr="00655FD1" w:rsidRDefault="000F258D" w:rsidP="000F258D">
      <w:pPr>
        <w:jc w:val="center"/>
        <w:rPr>
          <w:rFonts w:ascii="Helvetica" w:hAnsi="Helvetica" w:cs="Helvetica"/>
          <w:b/>
          <w:bCs/>
          <w:lang w:val="fr-FR"/>
        </w:rPr>
      </w:pPr>
      <w:r w:rsidRPr="00655FD1">
        <w:rPr>
          <w:rFonts w:ascii="Helvetica" w:hAnsi="Helvetica" w:cs="Helvetica"/>
          <w:b/>
          <w:bCs/>
          <w:lang w:val="fr-FR"/>
        </w:rPr>
        <w:t>Amendement</w:t>
      </w:r>
    </w:p>
    <w:p w14:paraId="08D8AFCE" w14:textId="77777777" w:rsidR="000F258D" w:rsidRPr="00655FD1" w:rsidRDefault="000F258D" w:rsidP="00107AB0">
      <w:pPr>
        <w:jc w:val="center"/>
        <w:rPr>
          <w:rFonts w:ascii="Helvetica" w:hAnsi="Helvetica" w:cs="Helvetica"/>
          <w:lang w:val="fr-FR"/>
        </w:rPr>
      </w:pPr>
    </w:p>
    <w:p w14:paraId="60A29834" w14:textId="0A8AC5F3" w:rsidR="00107AB0" w:rsidRPr="00655FD1" w:rsidRDefault="00107AB0" w:rsidP="00107AB0">
      <w:pPr>
        <w:jc w:val="center"/>
        <w:rPr>
          <w:rFonts w:ascii="Helvetica" w:hAnsi="Helvetica" w:cs="Helvetica"/>
          <w:lang w:val="fr-FR"/>
        </w:rPr>
      </w:pPr>
      <w:r w:rsidRPr="00655FD1">
        <w:rPr>
          <w:rFonts w:ascii="Helvetica" w:hAnsi="Helvetica" w:cs="Helvetica"/>
          <w:lang w:val="fr-FR"/>
        </w:rPr>
        <w:t>Article additionnel après l’article 3</w:t>
      </w:r>
    </w:p>
    <w:p w14:paraId="58B5EA11" w14:textId="77777777" w:rsidR="00107AB0" w:rsidRPr="00655FD1" w:rsidRDefault="00107AB0" w:rsidP="00107AB0">
      <w:pPr>
        <w:rPr>
          <w:rFonts w:ascii="Helvetica" w:hAnsi="Helvetica" w:cs="Helvetica"/>
          <w:lang w:val="fr-FR"/>
        </w:rPr>
      </w:pPr>
    </w:p>
    <w:p w14:paraId="55E16C96" w14:textId="43CB4B86" w:rsidR="00107AB0" w:rsidRPr="00655FD1" w:rsidRDefault="000551FA" w:rsidP="00107AB0">
      <w:pPr>
        <w:jc w:val="both"/>
        <w:rPr>
          <w:rFonts w:ascii="Helvetica" w:hAnsi="Helvetica" w:cs="Helvetica"/>
          <w:lang w:val="fr-FR"/>
        </w:rPr>
      </w:pPr>
      <w:r w:rsidRPr="00655FD1">
        <w:rPr>
          <w:rFonts w:ascii="Helvetica" w:hAnsi="Helvetica" w:cs="Helvetica"/>
          <w:lang w:val="fr-FR"/>
        </w:rPr>
        <w:t xml:space="preserve">A la fin du deuxième alinéa </w:t>
      </w:r>
      <w:r w:rsidR="00107AB0" w:rsidRPr="00655FD1">
        <w:rPr>
          <w:rFonts w:ascii="Helvetica" w:hAnsi="Helvetica" w:cs="Helvetica"/>
          <w:lang w:val="fr-FR"/>
        </w:rPr>
        <w:t xml:space="preserve">de l’article 30 du code de procédure pénale, </w:t>
      </w:r>
      <w:r w:rsidRPr="00655FD1">
        <w:rPr>
          <w:rFonts w:ascii="Helvetica" w:hAnsi="Helvetica" w:cs="Helvetica"/>
          <w:lang w:val="fr-FR"/>
        </w:rPr>
        <w:t>ajouter la phrase suivante :</w:t>
      </w:r>
    </w:p>
    <w:p w14:paraId="65072778" w14:textId="263FCE5F" w:rsidR="00107AB0" w:rsidRDefault="00AD0736" w:rsidP="00107AB0">
      <w:pPr>
        <w:jc w:val="both"/>
        <w:rPr>
          <w:rFonts w:ascii="Helvetica" w:hAnsi="Helvetica" w:cs="Helvetica"/>
          <w:lang w:val="fr-FR"/>
        </w:rPr>
      </w:pPr>
      <w:r w:rsidRPr="00655FD1">
        <w:rPr>
          <w:rFonts w:ascii="Helvetica" w:hAnsi="Helvetica" w:cs="Helvetica"/>
          <w:lang w:val="fr-FR"/>
        </w:rPr>
        <w:t>« Le garde des sceaux ne peut recevoir de rapports particuliers, à sa demande ou à l’initiative des procureurs généraux, que sur des procédures judiciaires en cours qui soulèvent une question de droit nouvelle ou revêtent une dimension nationale. Le secret de l’enquête ou de l’instruction est opposable au garde des sceaux et au ministre de l’intérieur. »</w:t>
      </w:r>
    </w:p>
    <w:p w14:paraId="72C13642" w14:textId="77777777" w:rsidR="003F52F5" w:rsidRPr="00655FD1" w:rsidRDefault="003F52F5" w:rsidP="00107AB0">
      <w:pPr>
        <w:jc w:val="both"/>
        <w:rPr>
          <w:rFonts w:ascii="Helvetica" w:hAnsi="Helvetica" w:cs="Helvetica"/>
          <w:lang w:val="fr-FR"/>
        </w:rPr>
      </w:pPr>
    </w:p>
    <w:p w14:paraId="5E822200" w14:textId="174602EF" w:rsidR="00107AB0" w:rsidRPr="00655FD1" w:rsidRDefault="00C86709" w:rsidP="00C86709">
      <w:pPr>
        <w:jc w:val="center"/>
        <w:rPr>
          <w:rFonts w:ascii="Helvetica" w:hAnsi="Helvetica" w:cs="Helvetica"/>
          <w:lang w:val="fr-FR"/>
        </w:rPr>
      </w:pPr>
      <w:r w:rsidRPr="00655FD1">
        <w:rPr>
          <w:rFonts w:ascii="Helvetica" w:hAnsi="Helvetica" w:cs="Helvetica"/>
          <w:u w:val="single"/>
          <w:lang w:val="fr-FR"/>
        </w:rPr>
        <w:t>Exposé des motifs</w:t>
      </w:r>
    </w:p>
    <w:p w14:paraId="415F3A0F" w14:textId="77777777" w:rsidR="00107AB0" w:rsidRPr="00655FD1" w:rsidRDefault="00107AB0" w:rsidP="00107AB0">
      <w:pPr>
        <w:jc w:val="both"/>
        <w:rPr>
          <w:rFonts w:ascii="Helvetica" w:hAnsi="Helvetica" w:cs="Helvetica"/>
          <w:lang w:val="fr-FR"/>
        </w:rPr>
      </w:pPr>
    </w:p>
    <w:p w14:paraId="7D43260A" w14:textId="77777777" w:rsidR="00107AB0" w:rsidRPr="00655FD1" w:rsidRDefault="00107AB0" w:rsidP="00107AB0">
      <w:pPr>
        <w:jc w:val="both"/>
        <w:rPr>
          <w:rFonts w:ascii="Helvetica" w:hAnsi="Helvetica" w:cs="Helvetica"/>
          <w:lang w:val="fr-FR"/>
        </w:rPr>
      </w:pPr>
      <w:r w:rsidRPr="00655FD1">
        <w:rPr>
          <w:rFonts w:ascii="Helvetica" w:hAnsi="Helvetica" w:cs="Helvetica"/>
          <w:lang w:val="fr-FR"/>
        </w:rPr>
        <w:t>L’article 30 du code de procédure pénale définit les attributions du garde des sceaux en matière de politique pénale.</w:t>
      </w:r>
    </w:p>
    <w:p w14:paraId="1417509C" w14:textId="77777777" w:rsidR="00107AB0" w:rsidRPr="00655FD1" w:rsidRDefault="00107AB0" w:rsidP="00107AB0">
      <w:pPr>
        <w:jc w:val="both"/>
        <w:rPr>
          <w:rFonts w:ascii="Helvetica" w:hAnsi="Helvetica" w:cs="Helvetica"/>
          <w:lang w:val="fr-FR"/>
        </w:rPr>
      </w:pPr>
      <w:r w:rsidRPr="00655FD1">
        <w:rPr>
          <w:rFonts w:ascii="Helvetica" w:hAnsi="Helvetica" w:cs="Helvetica"/>
          <w:lang w:val="fr-FR"/>
        </w:rPr>
        <w:t xml:space="preserve">Depuis la loi du 25 juillet 2013 qui a supprimé le pouvoir du garde des sceaux d’adresser des instructions au ministère public dans des affaires individuelles et a donné une base légale à la communication d’informations au garde des sceaux dans les affaires individuelles, les parquets sont sollicités par la direction des affaires criminelles et des grâces et par les parquets généraux pour fournir des informations à intervalles très réguliers et quasi systématiques. Ce flux montant d’informations vers la chancellerie mérite d’être mieux encadré par la loi pour préserver le secret de l’enquête et de l’instruction et rendre plus efficace conduite de la politique pénale par le gouvernement. </w:t>
      </w:r>
    </w:p>
    <w:p w14:paraId="5D7C37A1" w14:textId="77777777" w:rsidR="00107AB0" w:rsidRPr="00655FD1" w:rsidRDefault="00107AB0" w:rsidP="00107AB0">
      <w:pPr>
        <w:jc w:val="both"/>
        <w:rPr>
          <w:rFonts w:ascii="Helvetica" w:hAnsi="Helvetica" w:cs="Helvetica"/>
          <w:lang w:val="fr-FR"/>
        </w:rPr>
      </w:pPr>
      <w:r w:rsidRPr="00655FD1">
        <w:rPr>
          <w:rFonts w:ascii="Helvetica" w:hAnsi="Helvetica" w:cs="Helvetica"/>
          <w:lang w:val="fr-FR"/>
        </w:rPr>
        <w:t xml:space="preserve">Responsable de la politique pénale déterminée par le Gouvernement, le garde des sceaux est légitimement destinataire de rapports sur certaines affaires individuelles. Dans le prolongement des conclusions du rapport « Refonder le ministère public », il est proposé de définir le cadre dans lequel les remontées d’information sur des affaires individuelles sont légitimes. </w:t>
      </w:r>
    </w:p>
    <w:p w14:paraId="737325B7" w14:textId="38909FB3" w:rsidR="00107AB0" w:rsidRPr="00655FD1" w:rsidRDefault="00107AB0" w:rsidP="00107AB0">
      <w:pPr>
        <w:jc w:val="both"/>
        <w:rPr>
          <w:rFonts w:ascii="Helvetica" w:hAnsi="Helvetica" w:cs="Helvetica"/>
          <w:lang w:val="fr-FR"/>
        </w:rPr>
      </w:pPr>
      <w:r w:rsidRPr="00655FD1">
        <w:rPr>
          <w:rFonts w:ascii="Helvetica" w:hAnsi="Helvetica" w:cs="Helvetica"/>
          <w:lang w:val="fr-FR"/>
        </w:rPr>
        <w:t xml:space="preserve">Les remontées d’informations sont </w:t>
      </w:r>
      <w:r w:rsidR="00827AC8" w:rsidRPr="00655FD1">
        <w:rPr>
          <w:rFonts w:ascii="Helvetica" w:hAnsi="Helvetica" w:cs="Helvetica"/>
          <w:lang w:val="fr-FR"/>
        </w:rPr>
        <w:t xml:space="preserve">nécessaires et </w:t>
      </w:r>
      <w:r w:rsidRPr="00655FD1">
        <w:rPr>
          <w:rFonts w:ascii="Helvetica" w:hAnsi="Helvetica" w:cs="Helvetica"/>
          <w:lang w:val="fr-FR"/>
        </w:rPr>
        <w:t xml:space="preserve">légitimes </w:t>
      </w:r>
      <w:r w:rsidR="00827AC8" w:rsidRPr="00655FD1">
        <w:rPr>
          <w:rFonts w:ascii="Helvetica" w:hAnsi="Helvetica" w:cs="Helvetica"/>
          <w:lang w:val="fr-FR"/>
        </w:rPr>
        <w:t xml:space="preserve">seulement </w:t>
      </w:r>
      <w:r w:rsidRPr="00655FD1">
        <w:rPr>
          <w:rFonts w:ascii="Helvetica" w:hAnsi="Helvetica" w:cs="Helvetica"/>
          <w:lang w:val="fr-FR"/>
        </w:rPr>
        <w:t>quand une affaire individuelle soulève une question de droit nouvelle, notamment des difficultés d’application d’un texte en matière civile ou pénale</w:t>
      </w:r>
      <w:r w:rsidR="00655FD1" w:rsidRPr="00655FD1">
        <w:rPr>
          <w:rFonts w:ascii="Helvetica" w:hAnsi="Helvetica" w:cs="Helvetica"/>
          <w:lang w:val="fr-FR"/>
        </w:rPr>
        <w:t>,</w:t>
      </w:r>
      <w:r w:rsidR="00AD0736" w:rsidRPr="00655FD1">
        <w:rPr>
          <w:rFonts w:ascii="Helvetica" w:hAnsi="Helvetica" w:cs="Helvetica"/>
          <w:lang w:val="fr-FR"/>
        </w:rPr>
        <w:t xml:space="preserve"> ou </w:t>
      </w:r>
      <w:r w:rsidR="00655FD1" w:rsidRPr="00655FD1">
        <w:rPr>
          <w:rFonts w:ascii="Helvetica" w:hAnsi="Helvetica" w:cs="Helvetica"/>
          <w:lang w:val="fr-FR"/>
        </w:rPr>
        <w:t>lorsque cette affaire a</w:t>
      </w:r>
      <w:r w:rsidRPr="00655FD1">
        <w:rPr>
          <w:rFonts w:ascii="Helvetica" w:hAnsi="Helvetica" w:cs="Helvetica"/>
          <w:lang w:val="fr-FR"/>
        </w:rPr>
        <w:t xml:space="preserve"> un retentissement national.</w:t>
      </w:r>
    </w:p>
    <w:p w14:paraId="237AE1F5" w14:textId="645E252C" w:rsidR="00107AB0" w:rsidRPr="00655FD1" w:rsidRDefault="00107AB0" w:rsidP="00107AB0">
      <w:pPr>
        <w:jc w:val="both"/>
        <w:rPr>
          <w:rFonts w:ascii="Helvetica" w:hAnsi="Helvetica" w:cs="Helvetica"/>
          <w:lang w:val="fr-FR"/>
        </w:rPr>
      </w:pPr>
      <w:r w:rsidRPr="00655FD1">
        <w:rPr>
          <w:rFonts w:ascii="Helvetica" w:hAnsi="Helvetica" w:cs="Helvetica"/>
          <w:lang w:val="fr-FR"/>
        </w:rPr>
        <w:t xml:space="preserve">Ces critères </w:t>
      </w:r>
      <w:r w:rsidR="00FE1F64" w:rsidRPr="00655FD1">
        <w:rPr>
          <w:rFonts w:ascii="Helvetica" w:hAnsi="Helvetica" w:cs="Helvetica"/>
          <w:lang w:val="fr-FR"/>
        </w:rPr>
        <w:t xml:space="preserve">stricts </w:t>
      </w:r>
      <w:r w:rsidRPr="00655FD1">
        <w:rPr>
          <w:rFonts w:ascii="Helvetica" w:hAnsi="Helvetica" w:cs="Helvetica"/>
          <w:lang w:val="fr-FR"/>
        </w:rPr>
        <w:t>permett</w:t>
      </w:r>
      <w:r w:rsidR="00FE1F64" w:rsidRPr="00655FD1">
        <w:rPr>
          <w:rFonts w:ascii="Helvetica" w:hAnsi="Helvetica" w:cs="Helvetica"/>
          <w:lang w:val="fr-FR"/>
        </w:rPr>
        <w:t>ront</w:t>
      </w:r>
      <w:r w:rsidRPr="00655FD1">
        <w:rPr>
          <w:rFonts w:ascii="Helvetica" w:hAnsi="Helvetica" w:cs="Helvetica"/>
          <w:lang w:val="fr-FR"/>
        </w:rPr>
        <w:t xml:space="preserve"> de sortir d’un usage systématique, irraisonné et déraisonnable compte tenu des capacités de traitement de l’information par les services du ministère, des remontées d’informations. </w:t>
      </w:r>
    </w:p>
    <w:p w14:paraId="3C3B2CE0" w14:textId="77777777" w:rsidR="00107AB0" w:rsidRPr="00655FD1" w:rsidRDefault="00107AB0" w:rsidP="00107AB0">
      <w:pPr>
        <w:jc w:val="both"/>
        <w:rPr>
          <w:rFonts w:ascii="Helvetica" w:hAnsi="Helvetica" w:cs="Helvetica"/>
          <w:lang w:val="fr-FR"/>
        </w:rPr>
      </w:pPr>
      <w:r w:rsidRPr="00655FD1">
        <w:rPr>
          <w:rFonts w:ascii="Helvetica" w:hAnsi="Helvetica" w:cs="Helvetica"/>
          <w:lang w:val="fr-FR"/>
        </w:rPr>
        <w:t>Cette proposition répond à l’avis du Conseil supérieur de la magistrature qui, en 2017, appelait à une rationalisation des remontées d’informations.</w:t>
      </w:r>
    </w:p>
    <w:p w14:paraId="5A5A6C21" w14:textId="4436B6C0" w:rsidR="009A61BF" w:rsidRPr="00655FD1" w:rsidRDefault="000F258D" w:rsidP="000F258D">
      <w:pPr>
        <w:jc w:val="both"/>
        <w:rPr>
          <w:rFonts w:ascii="Helvetica" w:hAnsi="Helvetica" w:cs="Helvetica"/>
          <w:lang w:val="fr-FR"/>
        </w:rPr>
      </w:pPr>
      <w:r w:rsidRPr="00655FD1">
        <w:rPr>
          <w:rFonts w:ascii="Helvetica" w:hAnsi="Helvetica" w:cs="Helvetica"/>
          <w:lang w:val="fr-FR"/>
        </w:rPr>
        <w:t xml:space="preserve">Cet amendement a fait l’objet d’un travail avec </w:t>
      </w:r>
      <w:proofErr w:type="spellStart"/>
      <w:r w:rsidRPr="00655FD1">
        <w:rPr>
          <w:rFonts w:ascii="Helvetica" w:hAnsi="Helvetica" w:cs="Helvetica"/>
          <w:lang w:val="fr-FR"/>
        </w:rPr>
        <w:t>Transparency</w:t>
      </w:r>
      <w:proofErr w:type="spellEnd"/>
      <w:r w:rsidRPr="00655FD1">
        <w:rPr>
          <w:rFonts w:ascii="Helvetica" w:hAnsi="Helvetica" w:cs="Helvetica"/>
          <w:lang w:val="fr-FR"/>
        </w:rPr>
        <w:t xml:space="preserve"> International France.</w:t>
      </w:r>
    </w:p>
    <w:p w14:paraId="020DB32E" w14:textId="794B7596" w:rsidR="009A61BF" w:rsidRPr="00655FD1" w:rsidRDefault="009A61BF">
      <w:pPr>
        <w:rPr>
          <w:rFonts w:ascii="Helvetica" w:hAnsi="Helvetica" w:cs="Helvetica"/>
          <w:lang w:val="fr-FR"/>
        </w:rPr>
      </w:pPr>
    </w:p>
    <w:p w14:paraId="2469955D" w14:textId="77777777" w:rsidR="009A61BF" w:rsidRPr="00655FD1" w:rsidRDefault="009A61BF" w:rsidP="009A61BF">
      <w:pPr>
        <w:jc w:val="center"/>
        <w:rPr>
          <w:rFonts w:ascii="Helvetica" w:hAnsi="Helvetica" w:cs="Helvetica"/>
          <w:b/>
          <w:bCs/>
          <w:sz w:val="96"/>
          <w:szCs w:val="96"/>
          <w:lang w:val="fr-FR"/>
        </w:rPr>
      </w:pPr>
    </w:p>
    <w:p w14:paraId="2212E8F7" w14:textId="77777777" w:rsidR="009A61BF" w:rsidRPr="00655FD1" w:rsidRDefault="009A61BF" w:rsidP="009A61BF">
      <w:pPr>
        <w:rPr>
          <w:rFonts w:ascii="Helvetica" w:hAnsi="Helvetica" w:cs="Helvetica"/>
          <w:b/>
          <w:bCs/>
          <w:color w:val="002060"/>
          <w:sz w:val="72"/>
          <w:szCs w:val="72"/>
          <w:lang w:val="fr-FR"/>
        </w:rPr>
      </w:pPr>
      <w:r w:rsidRPr="00655FD1">
        <w:rPr>
          <w:rFonts w:ascii="Helvetica" w:hAnsi="Helvetica" w:cs="Helvetica"/>
          <w:b/>
          <w:bCs/>
          <w:color w:val="002060"/>
          <w:sz w:val="72"/>
          <w:szCs w:val="72"/>
          <w:lang w:val="fr-FR"/>
        </w:rPr>
        <w:t>PROJET DE LOI ORGANIQUE</w:t>
      </w:r>
    </w:p>
    <w:p w14:paraId="1DA453FC" w14:textId="4A800068" w:rsidR="000F258D" w:rsidRPr="00655FD1" w:rsidRDefault="009A61BF" w:rsidP="009A61BF">
      <w:pPr>
        <w:rPr>
          <w:rFonts w:ascii="Helvetica" w:hAnsi="Helvetica" w:cs="Helvetica"/>
          <w:color w:val="002060"/>
          <w:sz w:val="72"/>
          <w:szCs w:val="72"/>
          <w:lang w:val="fr-FR"/>
        </w:rPr>
      </w:pPr>
      <w:r w:rsidRPr="00655FD1">
        <w:rPr>
          <w:rFonts w:ascii="Helvetica" w:hAnsi="Helvetica" w:cs="Helvetica"/>
          <w:b/>
          <w:bCs/>
          <w:color w:val="002060"/>
          <w:sz w:val="72"/>
          <w:szCs w:val="72"/>
          <w:lang w:val="fr-FR"/>
        </w:rPr>
        <w:t>OUVERTURE, MODERNISATION ET RESPONSABILITE DU CORPS JUDICIAIRE</w:t>
      </w:r>
    </w:p>
    <w:p w14:paraId="34F94860" w14:textId="77777777" w:rsidR="000F258D" w:rsidRPr="00655FD1" w:rsidRDefault="000F258D" w:rsidP="00107AB0">
      <w:pPr>
        <w:jc w:val="both"/>
        <w:rPr>
          <w:rFonts w:ascii="Helvetica" w:hAnsi="Helvetica" w:cs="Helvetica"/>
          <w:lang w:val="fr-FR"/>
        </w:rPr>
      </w:pPr>
    </w:p>
    <w:p w14:paraId="4001A000" w14:textId="57519313" w:rsidR="00372B79" w:rsidRPr="00655FD1" w:rsidRDefault="00372B79">
      <w:pPr>
        <w:rPr>
          <w:rFonts w:ascii="Helvetica" w:hAnsi="Helvetica" w:cs="Helvetica"/>
          <w:lang w:val="fr-FR"/>
        </w:rPr>
      </w:pPr>
      <w:r w:rsidRPr="00655FD1">
        <w:rPr>
          <w:rFonts w:ascii="Helvetica" w:hAnsi="Helvetica" w:cs="Helvetica"/>
          <w:lang w:val="fr-FR"/>
        </w:rPr>
        <w:br w:type="page"/>
      </w:r>
    </w:p>
    <w:p w14:paraId="1414086E" w14:textId="16DCA556" w:rsidR="00372B79" w:rsidRPr="00655FD1" w:rsidRDefault="00372B79">
      <w:pPr>
        <w:rPr>
          <w:rFonts w:ascii="Helvetica" w:hAnsi="Helvetica" w:cs="Helvetica"/>
          <w:lang w:val="fr-FR"/>
        </w:rPr>
      </w:pPr>
    </w:p>
    <w:p w14:paraId="74455415" w14:textId="170CBF6C" w:rsidR="00372B79" w:rsidRPr="00655FD1" w:rsidRDefault="00372B79" w:rsidP="00372B79">
      <w:pPr>
        <w:jc w:val="center"/>
        <w:rPr>
          <w:rFonts w:ascii="Helvetica" w:hAnsi="Helvetica" w:cs="Helvetica"/>
          <w:b/>
          <w:bCs/>
          <w:lang w:val="fr-FR"/>
        </w:rPr>
      </w:pPr>
      <w:r w:rsidRPr="00655FD1">
        <w:rPr>
          <w:rFonts w:ascii="Helvetica" w:hAnsi="Helvetica" w:cs="Helvetica"/>
          <w:b/>
          <w:bCs/>
          <w:lang w:val="fr-FR"/>
        </w:rPr>
        <w:t>PROJET DE LOI ORGANIQUE</w:t>
      </w:r>
    </w:p>
    <w:p w14:paraId="22B796A7" w14:textId="77777777" w:rsidR="00372B79" w:rsidRPr="00655FD1" w:rsidRDefault="00372B79" w:rsidP="00372B79">
      <w:pPr>
        <w:jc w:val="center"/>
        <w:rPr>
          <w:rFonts w:ascii="Helvetica" w:hAnsi="Helvetica" w:cs="Helvetica"/>
          <w:b/>
          <w:bCs/>
          <w:lang w:val="fr-FR"/>
        </w:rPr>
      </w:pPr>
      <w:r w:rsidRPr="00655FD1">
        <w:rPr>
          <w:rFonts w:ascii="Helvetica" w:hAnsi="Helvetica" w:cs="Helvetica"/>
          <w:b/>
          <w:bCs/>
          <w:lang w:val="fr-FR"/>
        </w:rPr>
        <w:t>OUVERTURE, MODERNISATION ET RESPONSABILITE DU CORPS JUDICIAIRE</w:t>
      </w:r>
    </w:p>
    <w:p w14:paraId="781B433B" w14:textId="77777777" w:rsidR="00372B79" w:rsidRPr="00655FD1" w:rsidRDefault="00372B79" w:rsidP="00372B79">
      <w:pPr>
        <w:jc w:val="center"/>
        <w:rPr>
          <w:rFonts w:ascii="Helvetica" w:hAnsi="Helvetica" w:cs="Helvetica"/>
          <w:b/>
          <w:bCs/>
          <w:lang w:val="fr-FR"/>
        </w:rPr>
      </w:pPr>
    </w:p>
    <w:p w14:paraId="48EF21F9" w14:textId="77777777" w:rsidR="00372B79" w:rsidRPr="00655FD1" w:rsidRDefault="00372B79" w:rsidP="00372B79">
      <w:pPr>
        <w:jc w:val="center"/>
        <w:rPr>
          <w:rFonts w:ascii="Helvetica" w:hAnsi="Helvetica" w:cs="Helvetica"/>
          <w:b/>
          <w:bCs/>
          <w:lang w:val="fr-FR"/>
        </w:rPr>
      </w:pPr>
      <w:r w:rsidRPr="00655FD1">
        <w:rPr>
          <w:rFonts w:ascii="Helvetica" w:hAnsi="Helvetica" w:cs="Helvetica"/>
          <w:b/>
          <w:bCs/>
          <w:lang w:val="fr-FR"/>
        </w:rPr>
        <w:t>Amendement</w:t>
      </w:r>
    </w:p>
    <w:p w14:paraId="18F72AE5" w14:textId="77777777" w:rsidR="00372B79" w:rsidRPr="00655FD1" w:rsidRDefault="00372B79" w:rsidP="00372B79">
      <w:pPr>
        <w:ind w:left="720"/>
        <w:jc w:val="both"/>
        <w:rPr>
          <w:rFonts w:ascii="Helvetica" w:hAnsi="Helvetica" w:cs="Helvetica"/>
          <w:u w:val="single"/>
          <w:lang w:val="fr-FR"/>
        </w:rPr>
      </w:pPr>
    </w:p>
    <w:p w14:paraId="5D355A12" w14:textId="77777777" w:rsidR="00372B79" w:rsidRPr="00655FD1" w:rsidRDefault="00372B79" w:rsidP="00372B79">
      <w:pPr>
        <w:ind w:left="720"/>
        <w:jc w:val="both"/>
        <w:rPr>
          <w:rFonts w:ascii="Helvetica" w:hAnsi="Helvetica" w:cs="Helvetica"/>
          <w:u w:val="single"/>
          <w:lang w:val="fr-FR"/>
        </w:rPr>
      </w:pPr>
    </w:p>
    <w:p w14:paraId="62CD5E4C" w14:textId="77777777" w:rsidR="00372B79" w:rsidRPr="00655FD1" w:rsidRDefault="00372B79" w:rsidP="00372B79">
      <w:pPr>
        <w:ind w:left="720"/>
        <w:jc w:val="both"/>
        <w:rPr>
          <w:rFonts w:ascii="Helvetica" w:hAnsi="Helvetica" w:cs="Helvetica"/>
          <w:u w:val="single"/>
          <w:lang w:val="fr-FR"/>
        </w:rPr>
      </w:pPr>
    </w:p>
    <w:p w14:paraId="7BA769D0" w14:textId="77777777" w:rsidR="00372B79" w:rsidRPr="00655FD1" w:rsidRDefault="00372B79" w:rsidP="00372B79">
      <w:pPr>
        <w:jc w:val="center"/>
        <w:rPr>
          <w:rFonts w:ascii="Helvetica" w:hAnsi="Helvetica" w:cs="Helvetica"/>
          <w:u w:val="single"/>
          <w:lang w:val="fr-FR"/>
        </w:rPr>
      </w:pPr>
      <w:r w:rsidRPr="00655FD1">
        <w:rPr>
          <w:rFonts w:ascii="Helvetica" w:hAnsi="Helvetica" w:cs="Helvetica"/>
          <w:u w:val="single"/>
          <w:lang w:val="fr-FR"/>
        </w:rPr>
        <w:t>Article additionnel avant l’article 1</w:t>
      </w:r>
      <w:r w:rsidRPr="00655FD1">
        <w:rPr>
          <w:rFonts w:ascii="Helvetica" w:hAnsi="Helvetica" w:cs="Helvetica"/>
          <w:u w:val="single"/>
          <w:vertAlign w:val="superscript"/>
          <w:lang w:val="fr-FR"/>
        </w:rPr>
        <w:t>er</w:t>
      </w:r>
    </w:p>
    <w:p w14:paraId="60935974" w14:textId="77777777" w:rsidR="00372B79" w:rsidRPr="00655FD1" w:rsidRDefault="00372B79" w:rsidP="00372B79">
      <w:pPr>
        <w:jc w:val="both"/>
        <w:rPr>
          <w:rFonts w:ascii="Helvetica" w:hAnsi="Helvetica" w:cs="Helvetica"/>
          <w:lang w:val="fr-FR"/>
        </w:rPr>
      </w:pPr>
    </w:p>
    <w:p w14:paraId="0FDBB1F4" w14:textId="77777777" w:rsidR="00372B79" w:rsidRPr="00655FD1" w:rsidRDefault="00372B79" w:rsidP="00372B79">
      <w:pPr>
        <w:jc w:val="both"/>
        <w:rPr>
          <w:rFonts w:ascii="Helvetica" w:hAnsi="Helvetica" w:cs="Helvetica"/>
          <w:lang w:val="fr-FR"/>
        </w:rPr>
      </w:pPr>
      <w:r w:rsidRPr="00655FD1">
        <w:rPr>
          <w:rFonts w:ascii="Helvetica" w:hAnsi="Helvetica" w:cs="Helvetica"/>
          <w:lang w:val="fr-FR"/>
        </w:rPr>
        <w:t>Compléter la première phrase de l’article 5 de l’ordonnance du 22 décembre 1958 portant loi organique relative au statut de la magistrature par les mots suivants :</w:t>
      </w:r>
    </w:p>
    <w:p w14:paraId="7A4685F3" w14:textId="77777777" w:rsidR="00372B79" w:rsidRPr="00655FD1" w:rsidRDefault="00372B79" w:rsidP="00372B79">
      <w:pPr>
        <w:jc w:val="both"/>
        <w:rPr>
          <w:rFonts w:ascii="Helvetica" w:hAnsi="Helvetica" w:cs="Helvetica"/>
          <w:lang w:val="fr-FR"/>
        </w:rPr>
      </w:pPr>
    </w:p>
    <w:p w14:paraId="7E8DB0D6" w14:textId="77777777" w:rsidR="00372B79" w:rsidRPr="00655FD1" w:rsidRDefault="00372B79" w:rsidP="00372B79">
      <w:pPr>
        <w:jc w:val="both"/>
        <w:rPr>
          <w:rFonts w:ascii="Helvetica" w:hAnsi="Helvetica" w:cs="Helvetica"/>
          <w:lang w:val="fr-FR"/>
        </w:rPr>
      </w:pPr>
      <w:proofErr w:type="gramStart"/>
      <w:r w:rsidRPr="00655FD1">
        <w:rPr>
          <w:rFonts w:ascii="Helvetica" w:hAnsi="Helvetica" w:cs="Helvetica"/>
          <w:lang w:val="fr-FR"/>
        </w:rPr>
        <w:t>« ,en</w:t>
      </w:r>
      <w:proofErr w:type="gramEnd"/>
      <w:r w:rsidRPr="00655FD1">
        <w:rPr>
          <w:rFonts w:ascii="Helvetica" w:hAnsi="Helvetica" w:cs="Helvetica"/>
          <w:lang w:val="fr-FR"/>
        </w:rPr>
        <w:t xml:space="preserve"> ce qui concerne la politique pénale. » </w:t>
      </w:r>
    </w:p>
    <w:p w14:paraId="1CC601CC" w14:textId="77777777" w:rsidR="00372B79" w:rsidRPr="00655FD1" w:rsidRDefault="00372B79" w:rsidP="00372B79">
      <w:pPr>
        <w:jc w:val="both"/>
        <w:rPr>
          <w:rFonts w:ascii="Helvetica" w:hAnsi="Helvetica" w:cs="Helvetica"/>
          <w:u w:val="single"/>
          <w:lang w:val="fr-FR"/>
        </w:rPr>
      </w:pPr>
    </w:p>
    <w:p w14:paraId="733FB2EB" w14:textId="111C0C65" w:rsidR="00372B79" w:rsidRPr="00655FD1" w:rsidRDefault="004056A0" w:rsidP="004056A0">
      <w:pPr>
        <w:jc w:val="center"/>
        <w:rPr>
          <w:rFonts w:ascii="Helvetica" w:hAnsi="Helvetica" w:cs="Helvetica"/>
          <w:u w:val="single"/>
          <w:lang w:val="fr-FR"/>
        </w:rPr>
      </w:pPr>
      <w:r w:rsidRPr="00655FD1">
        <w:rPr>
          <w:rFonts w:ascii="Helvetica" w:hAnsi="Helvetica" w:cs="Helvetica"/>
          <w:u w:val="single"/>
          <w:lang w:val="fr-FR"/>
        </w:rPr>
        <w:t>Exposé des motifs</w:t>
      </w:r>
    </w:p>
    <w:p w14:paraId="6DBFC9F8" w14:textId="77777777" w:rsidR="00372B79" w:rsidRPr="00655FD1" w:rsidRDefault="00372B79" w:rsidP="00372B79">
      <w:pPr>
        <w:jc w:val="both"/>
        <w:rPr>
          <w:rFonts w:ascii="Helvetica" w:hAnsi="Helvetica" w:cs="Helvetica"/>
          <w:u w:val="single"/>
          <w:lang w:val="fr-FR"/>
        </w:rPr>
      </w:pPr>
    </w:p>
    <w:p w14:paraId="260EE4CF" w14:textId="7AC21AAE" w:rsidR="00372B79" w:rsidRPr="00655FD1" w:rsidRDefault="00372B79" w:rsidP="00372B79">
      <w:pPr>
        <w:jc w:val="both"/>
        <w:rPr>
          <w:rFonts w:ascii="Helvetica" w:hAnsi="Helvetica" w:cs="Helvetica"/>
          <w:lang w:val="fr-FR"/>
        </w:rPr>
      </w:pPr>
      <w:r w:rsidRPr="00655FD1">
        <w:rPr>
          <w:rFonts w:ascii="Helvetica" w:hAnsi="Helvetica" w:cs="Helvetica"/>
          <w:lang w:val="fr-FR"/>
        </w:rPr>
        <w:t>En cohérence avec les dispositions de la loi du 25 juillet 2013 relative aux attributions du garde des sceaux et des magistrats du ministère public, il est nécessaire de préciser que l’autorité du garde des sceaux ne concerne que la politique pénale pour laquelle il adresse des instructions générales. Depuis 2013, l’article 30 du code de procédure pénale exclut les instructions individuelles.</w:t>
      </w:r>
    </w:p>
    <w:p w14:paraId="77FDE53C" w14:textId="05028DEF" w:rsidR="00372B79" w:rsidRPr="00655FD1" w:rsidRDefault="00372B79" w:rsidP="00372B79">
      <w:pPr>
        <w:jc w:val="both"/>
        <w:rPr>
          <w:rFonts w:ascii="Helvetica" w:hAnsi="Helvetica" w:cs="Helvetica"/>
          <w:lang w:val="fr-FR"/>
        </w:rPr>
      </w:pPr>
      <w:r w:rsidRPr="00655FD1">
        <w:rPr>
          <w:rFonts w:ascii="Helvetica" w:hAnsi="Helvetica" w:cs="Helvetica"/>
          <w:lang w:val="fr-FR"/>
        </w:rPr>
        <w:t>La République n’a pas encore réussi à stabiliser le statut des magistrats du parquet. Les révisions constitutionnelles de 1999 et 2013, qui prévoyaient d’encadrer le pouvoir de nomination du garde des sceaux et de lui retirer son pouvoir disciplinaire, ont échoué. Lors du précédent quinquennat, le projet de loi constitutionnelle qui prévoyait ces mêmes dispositions a été abandonné.</w:t>
      </w:r>
    </w:p>
    <w:p w14:paraId="379B3698" w14:textId="3680E46D" w:rsidR="00372B79" w:rsidRPr="00655FD1" w:rsidRDefault="00372B79" w:rsidP="00372B79">
      <w:pPr>
        <w:jc w:val="both"/>
        <w:rPr>
          <w:rFonts w:ascii="Helvetica" w:hAnsi="Helvetica" w:cs="Helvetica"/>
          <w:lang w:val="fr-FR"/>
        </w:rPr>
      </w:pPr>
      <w:r w:rsidRPr="00655FD1">
        <w:rPr>
          <w:rFonts w:ascii="Helvetica" w:hAnsi="Helvetica" w:cs="Helvetica"/>
          <w:lang w:val="fr-FR"/>
        </w:rPr>
        <w:t xml:space="preserve">L’article 5 du statut des magistrats définit le modèle français du ministère public : un parquet hiérarchisé et placé sous l’autorité du garde des sceaux. </w:t>
      </w:r>
    </w:p>
    <w:p w14:paraId="4A995482" w14:textId="1E6CFA2D" w:rsidR="00372B79" w:rsidRPr="00655FD1" w:rsidRDefault="00372B79" w:rsidP="00372B79">
      <w:pPr>
        <w:jc w:val="both"/>
        <w:rPr>
          <w:rFonts w:ascii="Helvetica" w:hAnsi="Helvetica" w:cs="Helvetica"/>
          <w:lang w:val="fr-FR"/>
        </w:rPr>
      </w:pPr>
      <w:r w:rsidRPr="00655FD1">
        <w:rPr>
          <w:rFonts w:ascii="Helvetica" w:hAnsi="Helvetica" w:cs="Helvetica"/>
          <w:lang w:val="fr-FR"/>
        </w:rPr>
        <w:t>Cet amendement précise que l’autorité du garde des sceaux ne s’exerce qu’en matière de politique pénale, en cohérence avec l’article 30 du code de procédure pénale qui définit les attributions du garde des sceaux.</w:t>
      </w:r>
    </w:p>
    <w:p w14:paraId="76FD60CB" w14:textId="353197BA" w:rsidR="009B5251" w:rsidRPr="00655FD1" w:rsidRDefault="00372B79" w:rsidP="004056A0">
      <w:pPr>
        <w:jc w:val="both"/>
        <w:rPr>
          <w:rFonts w:ascii="Helvetica" w:hAnsi="Helvetica" w:cs="Helvetica"/>
          <w:lang w:val="fr-FR"/>
        </w:rPr>
      </w:pPr>
      <w:r w:rsidRPr="00655FD1">
        <w:rPr>
          <w:rFonts w:ascii="Helvetica" w:hAnsi="Helvetica" w:cs="Helvetica"/>
          <w:lang w:val="fr-FR"/>
        </w:rPr>
        <w:t xml:space="preserve">Cet amendement a fait l’objet d’un travail avec </w:t>
      </w:r>
      <w:proofErr w:type="spellStart"/>
      <w:r w:rsidRPr="00655FD1">
        <w:rPr>
          <w:rFonts w:ascii="Helvetica" w:hAnsi="Helvetica" w:cs="Helvetica"/>
          <w:lang w:val="fr-FR"/>
        </w:rPr>
        <w:t>Transparency</w:t>
      </w:r>
      <w:proofErr w:type="spellEnd"/>
      <w:r w:rsidRPr="00655FD1">
        <w:rPr>
          <w:rFonts w:ascii="Helvetica" w:hAnsi="Helvetica" w:cs="Helvetica"/>
          <w:lang w:val="fr-FR"/>
        </w:rPr>
        <w:t xml:space="preserve"> International </w:t>
      </w:r>
      <w:r w:rsidR="004056A0" w:rsidRPr="00655FD1">
        <w:rPr>
          <w:rFonts w:ascii="Helvetica" w:hAnsi="Helvetica" w:cs="Helvetica"/>
          <w:lang w:val="fr-FR"/>
        </w:rPr>
        <w:t>France.</w:t>
      </w:r>
    </w:p>
    <w:sectPr w:rsidR="009B5251" w:rsidRPr="00655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5958"/>
    <w:multiLevelType w:val="hybridMultilevel"/>
    <w:tmpl w:val="A4165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4637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30"/>
    <w:rsid w:val="00035630"/>
    <w:rsid w:val="000551FA"/>
    <w:rsid w:val="000C5BDA"/>
    <w:rsid w:val="000E44AA"/>
    <w:rsid w:val="000F258D"/>
    <w:rsid w:val="00107AB0"/>
    <w:rsid w:val="00120719"/>
    <w:rsid w:val="001736E2"/>
    <w:rsid w:val="00190729"/>
    <w:rsid w:val="001E56B1"/>
    <w:rsid w:val="00312F44"/>
    <w:rsid w:val="00372B79"/>
    <w:rsid w:val="003D7219"/>
    <w:rsid w:val="003F52F5"/>
    <w:rsid w:val="004056A0"/>
    <w:rsid w:val="00440E26"/>
    <w:rsid w:val="00465104"/>
    <w:rsid w:val="004F50B1"/>
    <w:rsid w:val="005E1440"/>
    <w:rsid w:val="006103F2"/>
    <w:rsid w:val="00655FD1"/>
    <w:rsid w:val="006835F7"/>
    <w:rsid w:val="00726CE2"/>
    <w:rsid w:val="007A5672"/>
    <w:rsid w:val="00827AC8"/>
    <w:rsid w:val="008549CB"/>
    <w:rsid w:val="0088666E"/>
    <w:rsid w:val="009A61BF"/>
    <w:rsid w:val="009B5251"/>
    <w:rsid w:val="009F0EFE"/>
    <w:rsid w:val="00A333C5"/>
    <w:rsid w:val="00AD0736"/>
    <w:rsid w:val="00C1618B"/>
    <w:rsid w:val="00C53C5A"/>
    <w:rsid w:val="00C86709"/>
    <w:rsid w:val="00C87F79"/>
    <w:rsid w:val="00D45681"/>
    <w:rsid w:val="00E01FA7"/>
    <w:rsid w:val="00E024E4"/>
    <w:rsid w:val="00E24F23"/>
    <w:rsid w:val="00E82B06"/>
    <w:rsid w:val="00E92675"/>
    <w:rsid w:val="00F22DB5"/>
    <w:rsid w:val="00F43D12"/>
    <w:rsid w:val="00FE1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416B"/>
  <w15:chartTrackingRefBased/>
  <w15:docId w15:val="{05CAE666-9E85-41E8-BD74-2354DD03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5BDA"/>
    <w:pPr>
      <w:spacing w:after="0" w:line="240" w:lineRule="auto"/>
      <w:ind w:left="720"/>
    </w:pPr>
    <w:rPr>
      <w:rFonts w:ascii="Calibri" w:hAnsi="Calibri" w:cs="Calibri"/>
      <w:kern w:val="0"/>
      <w14:ligatures w14:val="none"/>
    </w:rPr>
  </w:style>
  <w:style w:type="character" w:styleId="Marquedecommentaire">
    <w:name w:val="annotation reference"/>
    <w:basedOn w:val="Policepardfaut"/>
    <w:uiPriority w:val="99"/>
    <w:semiHidden/>
    <w:unhideWhenUsed/>
    <w:rsid w:val="00312F44"/>
    <w:rPr>
      <w:sz w:val="16"/>
      <w:szCs w:val="16"/>
    </w:rPr>
  </w:style>
  <w:style w:type="paragraph" w:styleId="Commentaire">
    <w:name w:val="annotation text"/>
    <w:basedOn w:val="Normal"/>
    <w:link w:val="CommentaireCar"/>
    <w:uiPriority w:val="99"/>
    <w:semiHidden/>
    <w:unhideWhenUsed/>
    <w:rsid w:val="00312F44"/>
    <w:pPr>
      <w:spacing w:line="240" w:lineRule="auto"/>
    </w:pPr>
    <w:rPr>
      <w:sz w:val="20"/>
      <w:szCs w:val="20"/>
    </w:rPr>
  </w:style>
  <w:style w:type="character" w:customStyle="1" w:styleId="CommentaireCar">
    <w:name w:val="Commentaire Car"/>
    <w:basedOn w:val="Policepardfaut"/>
    <w:link w:val="Commentaire"/>
    <w:uiPriority w:val="99"/>
    <w:semiHidden/>
    <w:rsid w:val="00312F44"/>
    <w:rPr>
      <w:sz w:val="20"/>
      <w:szCs w:val="20"/>
    </w:rPr>
  </w:style>
  <w:style w:type="paragraph" w:styleId="Objetducommentaire">
    <w:name w:val="annotation subject"/>
    <w:basedOn w:val="Commentaire"/>
    <w:next w:val="Commentaire"/>
    <w:link w:val="ObjetducommentaireCar"/>
    <w:uiPriority w:val="99"/>
    <w:semiHidden/>
    <w:unhideWhenUsed/>
    <w:rsid w:val="00312F44"/>
    <w:rPr>
      <w:b/>
      <w:bCs/>
    </w:rPr>
  </w:style>
  <w:style w:type="character" w:customStyle="1" w:styleId="ObjetducommentaireCar">
    <w:name w:val="Objet du commentaire Car"/>
    <w:basedOn w:val="CommentaireCar"/>
    <w:link w:val="Objetducommentaire"/>
    <w:uiPriority w:val="99"/>
    <w:semiHidden/>
    <w:rsid w:val="00312F44"/>
    <w:rPr>
      <w:b/>
      <w:bCs/>
      <w:sz w:val="20"/>
      <w:szCs w:val="20"/>
    </w:rPr>
  </w:style>
  <w:style w:type="paragraph" w:styleId="Rvision">
    <w:name w:val="Revision"/>
    <w:hidden/>
    <w:uiPriority w:val="99"/>
    <w:semiHidden/>
    <w:rsid w:val="00312F44"/>
    <w:pPr>
      <w:spacing w:after="0" w:line="240" w:lineRule="auto"/>
    </w:pPr>
  </w:style>
  <w:style w:type="paragraph" w:styleId="Textedebulles">
    <w:name w:val="Balloon Text"/>
    <w:basedOn w:val="Normal"/>
    <w:link w:val="TextedebullesCar"/>
    <w:uiPriority w:val="99"/>
    <w:semiHidden/>
    <w:unhideWhenUsed/>
    <w:rsid w:val="00312F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2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4321">
      <w:bodyDiv w:val="1"/>
      <w:marLeft w:val="0"/>
      <w:marRight w:val="0"/>
      <w:marTop w:val="0"/>
      <w:marBottom w:val="0"/>
      <w:divBdr>
        <w:top w:val="none" w:sz="0" w:space="0" w:color="auto"/>
        <w:left w:val="none" w:sz="0" w:space="0" w:color="auto"/>
        <w:bottom w:val="none" w:sz="0" w:space="0" w:color="auto"/>
        <w:right w:val="none" w:sz="0" w:space="0" w:color="auto"/>
      </w:divBdr>
    </w:div>
    <w:div w:id="397366152">
      <w:bodyDiv w:val="1"/>
      <w:marLeft w:val="0"/>
      <w:marRight w:val="0"/>
      <w:marTop w:val="0"/>
      <w:marBottom w:val="0"/>
      <w:divBdr>
        <w:top w:val="none" w:sz="0" w:space="0" w:color="auto"/>
        <w:left w:val="none" w:sz="0" w:space="0" w:color="auto"/>
        <w:bottom w:val="none" w:sz="0" w:space="0" w:color="auto"/>
        <w:right w:val="none" w:sz="0" w:space="0" w:color="auto"/>
      </w:divBdr>
    </w:div>
    <w:div w:id="407460379">
      <w:bodyDiv w:val="1"/>
      <w:marLeft w:val="0"/>
      <w:marRight w:val="0"/>
      <w:marTop w:val="0"/>
      <w:marBottom w:val="0"/>
      <w:divBdr>
        <w:top w:val="none" w:sz="0" w:space="0" w:color="auto"/>
        <w:left w:val="none" w:sz="0" w:space="0" w:color="auto"/>
        <w:bottom w:val="none" w:sz="0" w:space="0" w:color="auto"/>
        <w:right w:val="none" w:sz="0" w:space="0" w:color="auto"/>
      </w:divBdr>
    </w:div>
    <w:div w:id="8053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fdcbec0-b807-40be-9067-2bf99904e5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4C5E6F8EF80048858CBBAF7476BF30" ma:contentTypeVersion="10" ma:contentTypeDescription="Create a new document." ma:contentTypeScope="" ma:versionID="1881887088f4da6a254365b7f4e3867d">
  <xsd:schema xmlns:xsd="http://www.w3.org/2001/XMLSchema" xmlns:xs="http://www.w3.org/2001/XMLSchema" xmlns:p="http://schemas.microsoft.com/office/2006/metadata/properties" xmlns:ns3="afdcbec0-b807-40be-9067-2bf99904e5e7" xmlns:ns4="e124214c-4d4b-47bc-b2fe-28ab3cc5710d" targetNamespace="http://schemas.microsoft.com/office/2006/metadata/properties" ma:root="true" ma:fieldsID="e5c076f6eca0dc97c9a351b065f39578" ns3:_="" ns4:_="">
    <xsd:import namespace="afdcbec0-b807-40be-9067-2bf99904e5e7"/>
    <xsd:import namespace="e124214c-4d4b-47bc-b2fe-28ab3cc5710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cbec0-b807-40be-9067-2bf99904e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4214c-4d4b-47bc-b2fe-28ab3cc571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FBEC0-6B96-4CDE-96C0-71179CA94431}">
  <ds:schemaRefs>
    <ds:schemaRef ds:uri="http://schemas.microsoft.com/sharepoint/v3/contenttype/forms"/>
  </ds:schemaRefs>
</ds:datastoreItem>
</file>

<file path=customXml/itemProps2.xml><?xml version="1.0" encoding="utf-8"?>
<ds:datastoreItem xmlns:ds="http://schemas.openxmlformats.org/officeDocument/2006/customXml" ds:itemID="{F1377885-0BA5-4E37-B126-66733E4A5574}">
  <ds:schemaRefs>
    <ds:schemaRef ds:uri="http://purl.org/dc/elements/1.1/"/>
    <ds:schemaRef ds:uri="http://schemas.microsoft.com/office/2006/metadata/properties"/>
    <ds:schemaRef ds:uri="e124214c-4d4b-47bc-b2fe-28ab3cc5710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fdcbec0-b807-40be-9067-2bf99904e5e7"/>
    <ds:schemaRef ds:uri="http://www.w3.org/XML/1998/namespace"/>
  </ds:schemaRefs>
</ds:datastoreItem>
</file>

<file path=customXml/itemProps3.xml><?xml version="1.0" encoding="utf-8"?>
<ds:datastoreItem xmlns:ds="http://schemas.openxmlformats.org/officeDocument/2006/customXml" ds:itemID="{EE0D254C-65BD-4675-AFD7-200D0DC48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cbec0-b807-40be-9067-2bf99904e5e7"/>
    <ds:schemaRef ds:uri="e124214c-4d4b-47bc-b2fe-28ab3cc57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1651</Words>
  <Characters>9412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Dupré (TI FR)</dc:creator>
  <cp:keywords/>
  <dc:description/>
  <cp:lastModifiedBy>David Dupré (TI FR)</cp:lastModifiedBy>
  <cp:revision>2</cp:revision>
  <dcterms:created xsi:type="dcterms:W3CDTF">2023-06-13T07:50:00Z</dcterms:created>
  <dcterms:modified xsi:type="dcterms:W3CDTF">2023-06-13T07:50:00Z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0x010100174C5E6F8EF80048858CBBAF7476BF30</vt:lpwstr>
  </property>
</Properties>
</file>