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C4EEF" w14:textId="77777777" w:rsidR="002110E9" w:rsidRDefault="00390781">
      <w:pPr>
        <w:spacing w:after="0" w:line="240" w:lineRule="auto"/>
        <w:jc w:val="center"/>
        <w:rPr>
          <w:rFonts w:eastAsia="Palatino Linotype"/>
          <w:b/>
          <w:sz w:val="28"/>
          <w:szCs w:val="28"/>
        </w:rPr>
      </w:pPr>
      <w:r>
        <w:rPr>
          <w:rFonts w:eastAsia="Palatino Linotype"/>
          <w:b/>
          <w:noProof/>
          <w:sz w:val="28"/>
          <w:szCs w:val="28"/>
        </w:rPr>
        <mc:AlternateContent>
          <mc:Choice Requires="wps">
            <w:drawing>
              <wp:anchor distT="0" distB="0" distL="114300" distR="114300" simplePos="0" relativeHeight="251659264" behindDoc="0" locked="0" layoutInCell="1" allowOverlap="1" wp14:anchorId="63ED17E7" wp14:editId="19BAE2DF">
                <wp:simplePos x="0" y="0"/>
                <wp:positionH relativeFrom="column">
                  <wp:posOffset>7858125</wp:posOffset>
                </wp:positionH>
                <wp:positionV relativeFrom="paragraph">
                  <wp:posOffset>-424180</wp:posOffset>
                </wp:positionV>
                <wp:extent cx="1724025" cy="552450"/>
                <wp:effectExtent l="0" t="0" r="9525" b="0"/>
                <wp:wrapNone/>
                <wp:docPr id="4" name="Zone de texte 4"/>
                <wp:cNvGraphicFramePr/>
                <a:graphic xmlns:a="http://schemas.openxmlformats.org/drawingml/2006/main">
                  <a:graphicData uri="http://schemas.microsoft.com/office/word/2010/wordprocessingShape">
                    <wps:wsp>
                      <wps:cNvSpPr txBox="1"/>
                      <wps:spPr>
                        <a:xfrm>
                          <a:off x="0" y="0"/>
                          <a:ext cx="1724025" cy="552450"/>
                        </a:xfrm>
                        <a:prstGeom prst="rect">
                          <a:avLst/>
                        </a:prstGeom>
                        <a:solidFill>
                          <a:schemeClr val="lt1"/>
                        </a:solidFill>
                        <a:ln w="6350">
                          <a:noFill/>
                        </a:ln>
                      </wps:spPr>
                      <wps:txbx>
                        <w:txbxContent>
                          <w:p w14:paraId="544D298C" w14:textId="77777777" w:rsidR="002110E9" w:rsidRDefault="00390781">
                            <w:pPr>
                              <w:pStyle w:val="Sansinterligne"/>
                              <w:jc w:val="right"/>
                              <w:rPr>
                                <w:rFonts w:ascii="Marianne Medium" w:hAnsi="Marianne Medium"/>
                              </w:rPr>
                            </w:pPr>
                            <w:r>
                              <w:rPr>
                                <w:rFonts w:ascii="Marianne Medium" w:hAnsi="Marianne Medium"/>
                              </w:rPr>
                              <w:t xml:space="preserve">Direction des </w:t>
                            </w:r>
                          </w:p>
                          <w:p w14:paraId="2F3FC22B" w14:textId="77777777" w:rsidR="002110E9" w:rsidRDefault="00390781">
                            <w:pPr>
                              <w:pStyle w:val="Sansinterligne"/>
                              <w:jc w:val="right"/>
                              <w:rPr>
                                <w:rFonts w:ascii="Marianne Medium" w:hAnsi="Marianne Medium"/>
                              </w:rPr>
                            </w:pPr>
                            <w:r>
                              <w:rPr>
                                <w:rFonts w:ascii="Marianne Medium" w:hAnsi="Marianne Medium"/>
                              </w:rPr>
                              <w:t>Affaires juridiques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3ED17E7">
                <v:stroke joinstyle="miter"/>
                <v:path gradientshapeok="t" o:connecttype="rect"/>
              </v:shapetype>
              <v:shape id="Zone de texte 4" style="position:absolute;left:0;text-align:left;margin-left:618.75pt;margin-top:-33.4pt;width:135.7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">
                <v:textbox>
                  <w:txbxContent>
                    <w:p w:rsidR="002110E9" w:rsidRDefault="00390781" w14:paraId="544D298C" w14:textId="77777777">
                      <w:pPr>
                        <w:pStyle w:val="Sansinterligne"/>
                        <w:jc w:val="right"/>
                        <w:rPr>
                          <w:rFonts w:ascii="Marianne Medium" w:hAnsi="Marianne Medium"/>
                        </w:rPr>
                      </w:pPr>
                      <w:r>
                        <w:rPr>
                          <w:rFonts w:ascii="Marianne Medium" w:hAnsi="Marianne Medium"/>
                        </w:rPr>
                        <w:t xml:space="preserve">Direction des </w:t>
                      </w:r>
                    </w:p>
                    <w:p w:rsidR="002110E9" w:rsidRDefault="00390781" w14:paraId="2F3FC22B" w14:textId="77777777">
                      <w:pPr>
                        <w:pStyle w:val="Sansinterligne"/>
                        <w:jc w:val="right"/>
                        <w:rPr>
                          <w:rFonts w:ascii="Marianne Medium" w:hAnsi="Marianne Medium"/>
                        </w:rPr>
                      </w:pPr>
                      <w:r>
                        <w:rPr>
                          <w:rFonts w:ascii="Marianne Medium" w:hAnsi="Marianne Medium"/>
                        </w:rPr>
                        <w:t>Affaires juridiques</w:t>
                      </w:r>
                    </w:p>
                  </w:txbxContent>
                </v:textbox>
              </v:shape>
            </w:pict>
          </mc:Fallback>
        </mc:AlternateContent>
      </w:r>
      <w:r>
        <w:rPr>
          <w:rFonts w:eastAsia="Palatino Linotype"/>
          <w:b/>
          <w:noProof/>
          <w:sz w:val="28"/>
          <w:szCs w:val="28"/>
        </w:rPr>
        <w:drawing>
          <wp:anchor distT="0" distB="0" distL="114300" distR="114300" simplePos="0" relativeHeight="251658240" behindDoc="1" locked="0" layoutInCell="1" allowOverlap="1" wp14:anchorId="319E3258" wp14:editId="1CFE2FB0">
            <wp:simplePos x="0" y="0"/>
            <wp:positionH relativeFrom="margin">
              <wp:posOffset>-481965</wp:posOffset>
            </wp:positionH>
            <wp:positionV relativeFrom="margin">
              <wp:posOffset>-758190</wp:posOffset>
            </wp:positionV>
            <wp:extent cx="1800860" cy="1390650"/>
            <wp:effectExtent l="0" t="0" r="889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860" cy="1390650"/>
                    </a:xfrm>
                    <a:prstGeom prst="rect">
                      <a:avLst/>
                    </a:prstGeom>
                  </pic:spPr>
                </pic:pic>
              </a:graphicData>
            </a:graphic>
            <wp14:sizeRelH relativeFrom="margin">
              <wp14:pctWidth>0</wp14:pctWidth>
            </wp14:sizeRelH>
            <wp14:sizeRelV relativeFrom="margin">
              <wp14:pctHeight>0</wp14:pctHeight>
            </wp14:sizeRelV>
          </wp:anchor>
        </w:drawing>
      </w:r>
    </w:p>
    <w:p w14:paraId="108CEA56" w14:textId="77777777" w:rsidR="002110E9" w:rsidRDefault="002110E9">
      <w:pPr>
        <w:spacing w:after="0" w:line="240" w:lineRule="auto"/>
        <w:jc w:val="center"/>
        <w:rPr>
          <w:rFonts w:eastAsia="Palatino Linotype"/>
          <w:b/>
          <w:sz w:val="16"/>
          <w:szCs w:val="16"/>
        </w:rPr>
      </w:pPr>
    </w:p>
    <w:p w14:paraId="0906B1F9" w14:textId="77777777" w:rsidR="002110E9" w:rsidRDefault="002110E9">
      <w:pPr>
        <w:rPr>
          <w:sz w:val="16"/>
          <w:szCs w:val="16"/>
        </w:rPr>
      </w:pPr>
    </w:p>
    <w:p w14:paraId="60E650EE" w14:textId="77777777" w:rsidR="002110E9" w:rsidRDefault="0039078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sz w:val="28"/>
          <w:szCs w:val="28"/>
        </w:rPr>
      </w:pPr>
      <w:r>
        <w:rPr>
          <w:b/>
          <w:bCs/>
          <w:sz w:val="28"/>
          <w:szCs w:val="28"/>
        </w:rPr>
        <w:t>TABLEAU DES OBSERVATIONS</w:t>
      </w:r>
    </w:p>
    <w:p w14:paraId="7EBBB27E" w14:textId="77777777" w:rsidR="002110E9" w:rsidRDefault="00390781">
      <w:pPr>
        <w:jc w:val="center"/>
        <w:rPr>
          <w:b/>
          <w:bCs/>
        </w:rPr>
      </w:pPr>
      <w:r>
        <w:rPr>
          <w:b/>
          <w:bCs/>
        </w:rPr>
        <w:t>Consultation publique sur un projet de décret portant diverses mesures de simplification du droit de la commande publique</w:t>
      </w:r>
    </w:p>
    <w:p w14:paraId="01BB8B88" w14:textId="77777777" w:rsidR="002110E9" w:rsidRDefault="00390781">
      <w:pPr>
        <w:jc w:val="left"/>
        <w:rPr>
          <w:b/>
          <w:bCs/>
        </w:rPr>
      </w:pPr>
      <w:r>
        <w:rPr>
          <w:b/>
          <w:bCs/>
        </w:rPr>
        <w:t xml:space="preserve">Mode d’emploi : </w:t>
      </w:r>
    </w:p>
    <w:p w14:paraId="12E48859" w14:textId="77777777" w:rsidR="002110E9" w:rsidRDefault="00390781">
      <w:pPr>
        <w:pStyle w:val="Paragraphedeliste"/>
        <w:numPr>
          <w:ilvl w:val="0"/>
          <w:numId w:val="5"/>
        </w:numPr>
        <w:rPr>
          <w:sz w:val="20"/>
          <w:szCs w:val="20"/>
        </w:rPr>
      </w:pPr>
      <w:r>
        <w:rPr>
          <w:sz w:val="20"/>
          <w:szCs w:val="20"/>
        </w:rPr>
        <w:t>Chaque observation doit faire l’objet d’une ligne (il peut donc y avoir plusieurs lignes pour un même article) ;</w:t>
      </w:r>
    </w:p>
    <w:p w14:paraId="644F6AB1" w14:textId="77777777" w:rsidR="002110E9" w:rsidRDefault="00390781">
      <w:pPr>
        <w:pStyle w:val="Paragraphedeliste"/>
        <w:numPr>
          <w:ilvl w:val="0"/>
          <w:numId w:val="5"/>
        </w:numPr>
        <w:rPr>
          <w:sz w:val="20"/>
          <w:szCs w:val="20"/>
        </w:rPr>
      </w:pPr>
      <w:r>
        <w:rPr>
          <w:sz w:val="20"/>
          <w:szCs w:val="20"/>
        </w:rPr>
        <w:t>La colonne « numéro d’article » ne mentionne que le numéro de l’article (les alinéas doivent être indiqués en préalable dans la colonne observations) ;</w:t>
      </w:r>
    </w:p>
    <w:p w14:paraId="55BCE729" w14:textId="77777777" w:rsidR="002110E9" w:rsidRDefault="00390781">
      <w:pPr>
        <w:pStyle w:val="Paragraphedeliste"/>
        <w:numPr>
          <w:ilvl w:val="0"/>
          <w:numId w:val="5"/>
        </w:numPr>
        <w:rPr>
          <w:sz w:val="20"/>
          <w:szCs w:val="20"/>
        </w:rPr>
      </w:pPr>
      <w:r>
        <w:rPr>
          <w:sz w:val="20"/>
          <w:szCs w:val="20"/>
        </w:rPr>
        <w:t>La colonne « type d’organisme » est à remplir uniquement avec l’un des termes listés dans le menu déroulant ;</w:t>
      </w:r>
    </w:p>
    <w:p w14:paraId="4AFCE816" w14:textId="77777777" w:rsidR="002110E9" w:rsidRDefault="00390781">
      <w:pPr>
        <w:pStyle w:val="Paragraphedeliste"/>
        <w:numPr>
          <w:ilvl w:val="0"/>
          <w:numId w:val="5"/>
        </w:numPr>
        <w:rPr>
          <w:sz w:val="20"/>
          <w:szCs w:val="20"/>
        </w:rPr>
      </w:pPr>
      <w:r>
        <w:rPr>
          <w:sz w:val="20"/>
          <w:szCs w:val="20"/>
        </w:rPr>
        <w:t>La colonne « nom de l’organisme » ne doit pas contenir de coordonnées ;</w:t>
      </w:r>
    </w:p>
    <w:p w14:paraId="636065D0" w14:textId="77777777" w:rsidR="002110E9" w:rsidRDefault="00390781">
      <w:pPr>
        <w:pStyle w:val="Paragraphedeliste"/>
        <w:numPr>
          <w:ilvl w:val="0"/>
          <w:numId w:val="5"/>
        </w:numPr>
        <w:rPr>
          <w:sz w:val="20"/>
          <w:szCs w:val="20"/>
        </w:rPr>
      </w:pPr>
      <w:r>
        <w:rPr>
          <w:sz w:val="20"/>
          <w:szCs w:val="20"/>
        </w:rPr>
        <w:t>Le format du tableau et la taille de la police ne doivent pas être modifiés.</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51"/>
        <w:gridCol w:w="3224"/>
        <w:gridCol w:w="6949"/>
      </w:tblGrid>
      <w:tr w:rsidR="002110E9" w14:paraId="6AB0A41B" w14:textId="77777777" w:rsidTr="3E02D890">
        <w:trPr>
          <w:tblHeader/>
        </w:trPr>
        <w:tc>
          <w:tcPr>
            <w:tcW w:w="1526" w:type="dxa"/>
            <w:shd w:val="clear" w:color="auto" w:fill="465F9D"/>
            <w:vAlign w:val="center"/>
          </w:tcPr>
          <w:p w14:paraId="042EC3E5" w14:textId="77777777" w:rsidR="002110E9" w:rsidRDefault="00390781">
            <w:pPr>
              <w:spacing w:after="0" w:line="240" w:lineRule="auto"/>
              <w:jc w:val="center"/>
              <w:rPr>
                <w:b/>
                <w:color w:val="FFFFFF" w:themeColor="background1"/>
                <w:sz w:val="20"/>
                <w:szCs w:val="20"/>
              </w:rPr>
            </w:pPr>
            <w:r>
              <w:rPr>
                <w:b/>
                <w:color w:val="FFFFFF" w:themeColor="background1"/>
                <w:sz w:val="20"/>
                <w:szCs w:val="20"/>
              </w:rPr>
              <w:t>NUMERO D’ARTICLE</w:t>
            </w:r>
          </w:p>
        </w:tc>
        <w:tc>
          <w:tcPr>
            <w:tcW w:w="3151" w:type="dxa"/>
            <w:shd w:val="clear" w:color="auto" w:fill="465F9D"/>
            <w:vAlign w:val="center"/>
          </w:tcPr>
          <w:p w14:paraId="111DC7D0" w14:textId="77777777" w:rsidR="002110E9" w:rsidRDefault="00390781">
            <w:pPr>
              <w:spacing w:after="0" w:line="240" w:lineRule="auto"/>
              <w:jc w:val="center"/>
              <w:rPr>
                <w:b/>
                <w:color w:val="FFFFFF" w:themeColor="background1"/>
                <w:sz w:val="20"/>
                <w:szCs w:val="20"/>
              </w:rPr>
            </w:pPr>
            <w:r>
              <w:rPr>
                <w:b/>
                <w:color w:val="FFFFFF" w:themeColor="background1"/>
                <w:sz w:val="20"/>
                <w:szCs w:val="20"/>
              </w:rPr>
              <w:t>TYPE</w:t>
            </w:r>
          </w:p>
          <w:p w14:paraId="3E874311" w14:textId="77777777" w:rsidR="002110E9" w:rsidRDefault="00390781">
            <w:pPr>
              <w:spacing w:after="0" w:line="240" w:lineRule="auto"/>
              <w:jc w:val="center"/>
              <w:rPr>
                <w:b/>
                <w:color w:val="FFFFFF" w:themeColor="background1"/>
                <w:sz w:val="20"/>
                <w:szCs w:val="20"/>
              </w:rPr>
            </w:pPr>
            <w:r>
              <w:rPr>
                <w:b/>
                <w:color w:val="FFFFFF" w:themeColor="background1"/>
                <w:sz w:val="20"/>
                <w:szCs w:val="20"/>
              </w:rPr>
              <w:t>D’ORGANISME</w:t>
            </w:r>
          </w:p>
        </w:tc>
        <w:tc>
          <w:tcPr>
            <w:tcW w:w="3224" w:type="dxa"/>
            <w:shd w:val="clear" w:color="auto" w:fill="465F9D"/>
            <w:vAlign w:val="center"/>
          </w:tcPr>
          <w:p w14:paraId="6624A81C" w14:textId="77777777" w:rsidR="002110E9" w:rsidRDefault="00390781">
            <w:pPr>
              <w:spacing w:after="0" w:line="240" w:lineRule="auto"/>
              <w:jc w:val="center"/>
              <w:rPr>
                <w:b/>
                <w:color w:val="FFFFFF" w:themeColor="background1"/>
                <w:sz w:val="20"/>
                <w:szCs w:val="20"/>
              </w:rPr>
            </w:pPr>
            <w:r>
              <w:rPr>
                <w:b/>
                <w:color w:val="FFFFFF" w:themeColor="background1"/>
                <w:sz w:val="20"/>
                <w:szCs w:val="20"/>
              </w:rPr>
              <w:t>NOM</w:t>
            </w:r>
          </w:p>
          <w:p w14:paraId="27521835" w14:textId="77777777" w:rsidR="002110E9" w:rsidRDefault="00390781">
            <w:pPr>
              <w:spacing w:after="0" w:line="240" w:lineRule="auto"/>
              <w:jc w:val="center"/>
              <w:rPr>
                <w:b/>
                <w:color w:val="FFFFFF" w:themeColor="background1"/>
                <w:sz w:val="20"/>
                <w:szCs w:val="20"/>
              </w:rPr>
            </w:pPr>
            <w:r>
              <w:rPr>
                <w:b/>
                <w:color w:val="FFFFFF" w:themeColor="background1"/>
                <w:sz w:val="20"/>
                <w:szCs w:val="20"/>
              </w:rPr>
              <w:t>DE L’ORGANISME</w:t>
            </w:r>
          </w:p>
        </w:tc>
        <w:tc>
          <w:tcPr>
            <w:tcW w:w="6949" w:type="dxa"/>
            <w:shd w:val="clear" w:color="auto" w:fill="465F9D"/>
            <w:vAlign w:val="center"/>
          </w:tcPr>
          <w:p w14:paraId="13778186" w14:textId="77777777" w:rsidR="002110E9" w:rsidRDefault="00390781">
            <w:pPr>
              <w:spacing w:after="0" w:line="240" w:lineRule="auto"/>
              <w:jc w:val="center"/>
              <w:rPr>
                <w:b/>
                <w:color w:val="FFFFFF" w:themeColor="background1"/>
                <w:sz w:val="20"/>
                <w:szCs w:val="20"/>
              </w:rPr>
            </w:pPr>
            <w:r>
              <w:rPr>
                <w:b/>
                <w:color w:val="FFFFFF" w:themeColor="background1"/>
                <w:sz w:val="20"/>
                <w:szCs w:val="20"/>
              </w:rPr>
              <w:t>OBSERVATIONS</w:t>
            </w:r>
          </w:p>
        </w:tc>
      </w:tr>
      <w:tr w:rsidR="002110E9" w14:paraId="4FCC5216" w14:textId="77777777" w:rsidTr="3E02D890">
        <w:tc>
          <w:tcPr>
            <w:tcW w:w="1526" w:type="dxa"/>
            <w:shd w:val="clear" w:color="auto" w:fill="auto"/>
            <w:vAlign w:val="center"/>
          </w:tcPr>
          <w:p w14:paraId="15948304" w14:textId="438D6C4B" w:rsidR="002110E9" w:rsidRDefault="00390781">
            <w:pPr>
              <w:spacing w:after="0" w:line="240" w:lineRule="auto"/>
              <w:jc w:val="center"/>
              <w:rPr>
                <w:b/>
                <w:sz w:val="20"/>
                <w:szCs w:val="20"/>
              </w:rPr>
            </w:pPr>
            <w:r>
              <w:rPr>
                <w:b/>
                <w:sz w:val="20"/>
                <w:szCs w:val="20"/>
              </w:rPr>
              <w:t>Article 1</w:t>
            </w:r>
          </w:p>
        </w:tc>
        <w:sdt>
          <w:sdtPr>
            <w:rPr>
              <w:sz w:val="20"/>
              <w:szCs w:val="20"/>
            </w:rPr>
            <w:id w:val="1237979080"/>
            <w:placeholder>
              <w:docPart w:val="25BD473DD6B44BCCA63F135C4EC54A05"/>
            </w:placeholder>
            <w:comboBox>
              <w:listItem w:value="Choisissez un élément."/>
              <w:listItem w:displayText="Acheteur" w:value="Acheteur"/>
              <w:listItem w:displayText="Association d'élus" w:value="Association d'élus"/>
              <w:listItem w:displayText="Fédération professionnelle" w:value="Fédération professionnelle"/>
              <w:listItem w:displayText="Personne privée" w:value="Personne privée"/>
              <w:listItem w:displayText="Autre" w:value="Autre"/>
            </w:comboBox>
          </w:sdtPr>
          <w:sdtEndPr/>
          <w:sdtContent>
            <w:tc>
              <w:tcPr>
                <w:tcW w:w="3151" w:type="dxa"/>
                <w:shd w:val="clear" w:color="auto" w:fill="auto"/>
                <w:vAlign w:val="center"/>
              </w:tcPr>
              <w:p w14:paraId="7D72F6CF" w14:textId="5F24CB53" w:rsidR="002110E9" w:rsidRDefault="00390781">
                <w:pPr>
                  <w:spacing w:after="0" w:line="240" w:lineRule="auto"/>
                  <w:rPr>
                    <w:sz w:val="20"/>
                    <w:szCs w:val="20"/>
                  </w:rPr>
                </w:pPr>
                <w:r>
                  <w:rPr>
                    <w:sz w:val="20"/>
                    <w:szCs w:val="20"/>
                  </w:rPr>
                  <w:t>ONG anti-corruption</w:t>
                </w:r>
              </w:p>
            </w:tc>
          </w:sdtContent>
        </w:sdt>
        <w:tc>
          <w:tcPr>
            <w:tcW w:w="3224" w:type="dxa"/>
            <w:shd w:val="clear" w:color="auto" w:fill="auto"/>
            <w:vAlign w:val="center"/>
          </w:tcPr>
          <w:p w14:paraId="3E73528B" w14:textId="10109E06" w:rsidR="002110E9" w:rsidRDefault="00390781">
            <w:pPr>
              <w:spacing w:after="0" w:line="240" w:lineRule="auto"/>
              <w:rPr>
                <w:sz w:val="20"/>
                <w:szCs w:val="20"/>
              </w:rPr>
            </w:pPr>
            <w:proofErr w:type="spellStart"/>
            <w:r>
              <w:rPr>
                <w:sz w:val="20"/>
                <w:szCs w:val="20"/>
              </w:rPr>
              <w:t>Transparency</w:t>
            </w:r>
            <w:proofErr w:type="spellEnd"/>
            <w:r>
              <w:rPr>
                <w:sz w:val="20"/>
                <w:szCs w:val="20"/>
              </w:rPr>
              <w:t xml:space="preserve"> International France</w:t>
            </w:r>
          </w:p>
        </w:tc>
        <w:tc>
          <w:tcPr>
            <w:tcW w:w="6949" w:type="dxa"/>
            <w:shd w:val="clear" w:color="auto" w:fill="auto"/>
            <w:vAlign w:val="center"/>
          </w:tcPr>
          <w:p w14:paraId="688AF636" w14:textId="77777777" w:rsidR="00390781" w:rsidRPr="00390781" w:rsidRDefault="00390781" w:rsidP="00390781">
            <w:pPr>
              <w:rPr>
                <w:sz w:val="20"/>
                <w:szCs w:val="20"/>
              </w:rPr>
            </w:pPr>
            <w:proofErr w:type="spellStart"/>
            <w:r w:rsidRPr="00390781">
              <w:rPr>
                <w:sz w:val="20"/>
                <w:szCs w:val="20"/>
              </w:rPr>
              <w:t>Transparency</w:t>
            </w:r>
            <w:proofErr w:type="spellEnd"/>
            <w:r w:rsidRPr="00390781">
              <w:rPr>
                <w:sz w:val="20"/>
                <w:szCs w:val="20"/>
              </w:rPr>
              <w:t xml:space="preserve"> International France s’oppose à la pérennisation de la hausse temporaire à 100 000 euros du seuil de publicité préalable obligatoire prévue par l’article 1 de ce projet de décret.</w:t>
            </w:r>
          </w:p>
          <w:p w14:paraId="42ADC013" w14:textId="33DC16CC" w:rsidR="00390781" w:rsidRPr="00390781" w:rsidRDefault="00390781" w:rsidP="00390781">
            <w:pPr>
              <w:rPr>
                <w:sz w:val="20"/>
                <w:szCs w:val="20"/>
              </w:rPr>
            </w:pPr>
            <w:commentRangeStart w:id="0"/>
            <w:proofErr w:type="spellStart"/>
            <w:r w:rsidRPr="766B27AB">
              <w:rPr>
                <w:sz w:val="20"/>
                <w:szCs w:val="20"/>
              </w:rPr>
              <w:t>Transparency</w:t>
            </w:r>
            <w:proofErr w:type="spellEnd"/>
            <w:r w:rsidRPr="766B27AB">
              <w:rPr>
                <w:sz w:val="20"/>
                <w:szCs w:val="20"/>
              </w:rPr>
              <w:t xml:space="preserve"> International France défend plutôt un retour vers un seuil unique de publicité préalable pour tous les types de marchés à 40 000 euros</w:t>
            </w:r>
            <w:r w:rsidR="00507CC5">
              <w:rPr>
                <w:sz w:val="20"/>
                <w:szCs w:val="20"/>
              </w:rPr>
              <w:t xml:space="preserve"> qui prévalait avant la crise sanitaire de 2020</w:t>
            </w:r>
            <w:r w:rsidRPr="766B27AB">
              <w:rPr>
                <w:sz w:val="20"/>
                <w:szCs w:val="20"/>
              </w:rPr>
              <w:t>, aligné avec le seuil de publication des données essentielles de la commande publique.</w:t>
            </w:r>
            <w:commentRangeEnd w:id="0"/>
            <w:r>
              <w:commentReference w:id="0"/>
            </w:r>
            <w:r w:rsidR="00507CC5">
              <w:rPr>
                <w:sz w:val="20"/>
                <w:szCs w:val="20"/>
              </w:rPr>
              <w:t xml:space="preserve"> Le seul relèvement qui pourrait être concédé sur ce seuil de 40 000 euros devrait relever de critères structurels de long terme, comme l’inflation par exemple.</w:t>
            </w:r>
          </w:p>
          <w:p w14:paraId="36147200" w14:textId="26AF1ABA" w:rsidR="00390781" w:rsidRPr="00390781" w:rsidRDefault="00390781" w:rsidP="00390781">
            <w:pPr>
              <w:rPr>
                <w:sz w:val="20"/>
                <w:szCs w:val="20"/>
              </w:rPr>
            </w:pPr>
            <w:r w:rsidRPr="3E02D890">
              <w:rPr>
                <w:sz w:val="20"/>
                <w:szCs w:val="20"/>
              </w:rPr>
              <w:t>Cette pérennisation prévue à l’article 1 augmenterait les</w:t>
            </w:r>
            <w:r w:rsidR="00557BEA">
              <w:rPr>
                <w:sz w:val="20"/>
                <w:szCs w:val="20"/>
              </w:rPr>
              <w:t xml:space="preserve"> </w:t>
            </w:r>
            <w:r w:rsidRPr="3E02D890">
              <w:rPr>
                <w:sz w:val="20"/>
                <w:szCs w:val="20"/>
              </w:rPr>
              <w:t>risques de corruption</w:t>
            </w:r>
            <w:r w:rsidR="3270A036" w:rsidRPr="3E02D890">
              <w:rPr>
                <w:sz w:val="20"/>
                <w:szCs w:val="20"/>
              </w:rPr>
              <w:t xml:space="preserve"> dans le cadre de la passation des marchés publics</w:t>
            </w:r>
            <w:r w:rsidR="00557BEA">
              <w:rPr>
                <w:sz w:val="20"/>
                <w:szCs w:val="20"/>
              </w:rPr>
              <w:t>, qui constituent un secteur à risque</w:t>
            </w:r>
            <w:r w:rsidRPr="3E02D890">
              <w:rPr>
                <w:sz w:val="20"/>
                <w:szCs w:val="20"/>
              </w:rPr>
              <w:t>. C’est ce que relève notamment la Commission européenne dans son étude publiée le 4 novembre 2024 intitulée « </w:t>
            </w:r>
            <w:hyperlink r:id="rId16" w:history="1">
              <w:r w:rsidRPr="00F70DF2">
                <w:rPr>
                  <w:rStyle w:val="Lienhypertexte"/>
                  <w:i/>
                  <w:iCs/>
                  <w:sz w:val="20"/>
                  <w:szCs w:val="20"/>
                </w:rPr>
                <w:t>High-</w:t>
              </w:r>
              <w:proofErr w:type="spellStart"/>
              <w:r w:rsidRPr="00F70DF2">
                <w:rPr>
                  <w:rStyle w:val="Lienhypertexte"/>
                  <w:i/>
                  <w:iCs/>
                  <w:sz w:val="20"/>
                  <w:szCs w:val="20"/>
                </w:rPr>
                <w:t>risk</w:t>
              </w:r>
              <w:proofErr w:type="spellEnd"/>
              <w:r w:rsidRPr="00F70DF2">
                <w:rPr>
                  <w:rStyle w:val="Lienhypertexte"/>
                  <w:i/>
                  <w:iCs/>
                  <w:sz w:val="20"/>
                  <w:szCs w:val="20"/>
                </w:rPr>
                <w:t xml:space="preserve"> areas of corruption in EU </w:t>
              </w:r>
              <w:proofErr w:type="spellStart"/>
              <w:r w:rsidRPr="00F70DF2">
                <w:rPr>
                  <w:rStyle w:val="Lienhypertexte"/>
                  <w:i/>
                  <w:iCs/>
                  <w:sz w:val="20"/>
                  <w:szCs w:val="20"/>
                </w:rPr>
                <w:t>Member</w:t>
              </w:r>
              <w:proofErr w:type="spellEnd"/>
              <w:r w:rsidRPr="00F70DF2">
                <w:rPr>
                  <w:rStyle w:val="Lienhypertexte"/>
                  <w:i/>
                  <w:iCs/>
                  <w:sz w:val="20"/>
                  <w:szCs w:val="20"/>
                </w:rPr>
                <w:t xml:space="preserve"> States: a mapping and in-</w:t>
              </w:r>
              <w:proofErr w:type="spellStart"/>
              <w:r w:rsidRPr="00F70DF2">
                <w:rPr>
                  <w:rStyle w:val="Lienhypertexte"/>
                  <w:i/>
                  <w:iCs/>
                  <w:sz w:val="20"/>
                  <w:szCs w:val="20"/>
                </w:rPr>
                <w:t>depth</w:t>
              </w:r>
              <w:proofErr w:type="spellEnd"/>
              <w:r w:rsidRPr="00F70DF2">
                <w:rPr>
                  <w:rStyle w:val="Lienhypertexte"/>
                  <w:i/>
                  <w:iCs/>
                  <w:sz w:val="20"/>
                  <w:szCs w:val="20"/>
                </w:rPr>
                <w:t xml:space="preserve"> </w:t>
              </w:r>
              <w:proofErr w:type="spellStart"/>
              <w:r w:rsidRPr="00F70DF2">
                <w:rPr>
                  <w:rStyle w:val="Lienhypertexte"/>
                  <w:i/>
                  <w:iCs/>
                  <w:sz w:val="20"/>
                  <w:szCs w:val="20"/>
                </w:rPr>
                <w:t>analysis</w:t>
              </w:r>
              <w:proofErr w:type="spellEnd"/>
              <w:r w:rsidRPr="00F70DF2">
                <w:rPr>
                  <w:rStyle w:val="Lienhypertexte"/>
                  <w:sz w:val="20"/>
                  <w:szCs w:val="20"/>
                </w:rPr>
                <w:t> </w:t>
              </w:r>
            </w:hyperlink>
            <w:r w:rsidRPr="3E02D890">
              <w:rPr>
                <w:sz w:val="20"/>
                <w:szCs w:val="20"/>
              </w:rPr>
              <w:t xml:space="preserve">» qui identifie les marchés publics comme une des 6 principales zones de risque de corruption dans l’Union européenne. </w:t>
            </w:r>
            <w:r w:rsidRPr="3E02D890">
              <w:rPr>
                <w:sz w:val="20"/>
                <w:szCs w:val="20"/>
              </w:rPr>
              <w:lastRenderedPageBreak/>
              <w:t xml:space="preserve">L’encadrement très limité des marchés publics de gré à gré passés sans publicité préalable les rend particulièrement vulnérables à la matérialisation d’un délit d’atteinte à la probité, dont le favoritisme. </w:t>
            </w:r>
          </w:p>
          <w:p w14:paraId="4966318E" w14:textId="285149C0" w:rsidR="00390781" w:rsidRPr="00390781" w:rsidRDefault="00390781" w:rsidP="00390781">
            <w:pPr>
              <w:rPr>
                <w:sz w:val="20"/>
                <w:szCs w:val="20"/>
              </w:rPr>
            </w:pPr>
            <w:r w:rsidRPr="3E02D890">
              <w:rPr>
                <w:sz w:val="20"/>
                <w:szCs w:val="20"/>
              </w:rPr>
              <w:t>De plus, ces marchés de gré à gré peuvent induire en erreur l’acheteur public en lui donnant un faux sentiment de liberté  car les principes généraux de la commande publique s’applique</w:t>
            </w:r>
            <w:r w:rsidR="51897133" w:rsidRPr="3E02D890">
              <w:rPr>
                <w:sz w:val="20"/>
                <w:szCs w:val="20"/>
              </w:rPr>
              <w:t>nt</w:t>
            </w:r>
            <w:r w:rsidRPr="3E02D890">
              <w:rPr>
                <w:sz w:val="20"/>
                <w:szCs w:val="20"/>
              </w:rPr>
              <w:t xml:space="preserve"> dès le premier euro et le délit de favoritisme peut être constitué même pour les marchés sans formalisme et de faible montant (</w:t>
            </w:r>
            <w:r w:rsidRPr="3E02D890">
              <w:rPr>
                <w:i/>
                <w:iCs/>
                <w:sz w:val="20"/>
                <w:szCs w:val="20"/>
              </w:rPr>
              <w:t>Décision n° 06-81.924 du 14 février 2007 de la chambre criminelle de la Cour de cassation</w:t>
            </w:r>
            <w:r w:rsidRPr="3E02D890">
              <w:rPr>
                <w:sz w:val="20"/>
                <w:szCs w:val="20"/>
              </w:rPr>
              <w:t xml:space="preserve">) </w:t>
            </w:r>
          </w:p>
          <w:p w14:paraId="70880055" w14:textId="41AF206F" w:rsidR="00390781" w:rsidRPr="00390781" w:rsidRDefault="00390781" w:rsidP="00390781">
            <w:pPr>
              <w:rPr>
                <w:sz w:val="20"/>
                <w:szCs w:val="20"/>
              </w:rPr>
            </w:pPr>
            <w:r w:rsidRPr="3E02D890">
              <w:rPr>
                <w:sz w:val="20"/>
                <w:szCs w:val="20"/>
              </w:rPr>
              <w:t xml:space="preserve">Enfin, la pérennisation de ce seuil ne répond pas à l’objectif de simplification de la vie économique dans lequel s’inscrit ce décret, elle contribue au contraire à la complexification de la vie économique. Elle </w:t>
            </w:r>
            <w:r w:rsidR="2AF08B81" w:rsidRPr="3E02D890">
              <w:rPr>
                <w:sz w:val="20"/>
                <w:szCs w:val="20"/>
              </w:rPr>
              <w:t>témoigne</w:t>
            </w:r>
            <w:r w:rsidRPr="3E02D890">
              <w:rPr>
                <w:sz w:val="20"/>
                <w:szCs w:val="20"/>
              </w:rPr>
              <w:t xml:space="preserve"> en effet d</w:t>
            </w:r>
            <w:r w:rsidR="69495848" w:rsidRPr="3E02D890">
              <w:rPr>
                <w:sz w:val="20"/>
                <w:szCs w:val="20"/>
              </w:rPr>
              <w:t>’</w:t>
            </w:r>
            <w:r w:rsidRPr="3E02D890">
              <w:rPr>
                <w:sz w:val="20"/>
                <w:szCs w:val="20"/>
              </w:rPr>
              <w:t xml:space="preserve">une tendance de long terme de hausse continue du seuil de publicité préalable, avec des exceptions toujours plus nombreuses et des évolutions constantes qui complexifient la tâche des acteurs publics. </w:t>
            </w:r>
            <w:r w:rsidRPr="3E02D890">
              <w:rPr>
                <w:b/>
                <w:bCs/>
                <w:sz w:val="20"/>
                <w:szCs w:val="20"/>
              </w:rPr>
              <w:t>Depuis 2008, ce seuil a été modifié au moins à 9 reprises, soit une modification toutes les 1,7 années </w:t>
            </w:r>
            <w:r w:rsidRPr="3E02D890">
              <w:rPr>
                <w:sz w:val="20"/>
                <w:szCs w:val="20"/>
              </w:rPr>
              <w:t xml:space="preserve">: </w:t>
            </w:r>
          </w:p>
          <w:p w14:paraId="2C819E5D" w14:textId="77777777" w:rsidR="00390781" w:rsidRPr="00390781" w:rsidRDefault="00390781" w:rsidP="00390781">
            <w:pPr>
              <w:pStyle w:val="Paragraphedeliste"/>
              <w:numPr>
                <w:ilvl w:val="0"/>
                <w:numId w:val="6"/>
              </w:numPr>
              <w:spacing w:after="160" w:line="278" w:lineRule="auto"/>
              <w:jc w:val="left"/>
              <w:rPr>
                <w:sz w:val="20"/>
                <w:szCs w:val="20"/>
              </w:rPr>
            </w:pPr>
            <w:r w:rsidRPr="00390781">
              <w:rPr>
                <w:b/>
                <w:bCs/>
                <w:sz w:val="20"/>
                <w:szCs w:val="20"/>
              </w:rPr>
              <w:t>2008</w:t>
            </w:r>
            <w:r w:rsidRPr="00390781">
              <w:rPr>
                <w:sz w:val="20"/>
                <w:szCs w:val="20"/>
              </w:rPr>
              <w:t> : Initialement fixé à 4000 euros en 2004, le seuil de publicité préalable pour tous les types de marchés a été relevé à 20 000 euros dans un contexte « exceptionnel » de relance économique (</w:t>
            </w:r>
            <w:r w:rsidRPr="00390781">
              <w:rPr>
                <w:i/>
                <w:iCs/>
                <w:sz w:val="20"/>
                <w:szCs w:val="20"/>
              </w:rPr>
              <w:t>Décret n°2008-1355 du 19 décembre 2008</w:t>
            </w:r>
            <w:r w:rsidRPr="00390781">
              <w:rPr>
                <w:sz w:val="20"/>
                <w:szCs w:val="20"/>
              </w:rPr>
              <w:t>)</w:t>
            </w:r>
          </w:p>
          <w:p w14:paraId="03A51567" w14:textId="77777777" w:rsidR="00390781" w:rsidRPr="00390781" w:rsidRDefault="00390781" w:rsidP="00390781">
            <w:pPr>
              <w:pStyle w:val="Paragraphedeliste"/>
              <w:numPr>
                <w:ilvl w:val="0"/>
                <w:numId w:val="6"/>
              </w:numPr>
              <w:spacing w:after="160" w:line="278" w:lineRule="auto"/>
              <w:jc w:val="left"/>
              <w:rPr>
                <w:sz w:val="20"/>
                <w:szCs w:val="20"/>
              </w:rPr>
            </w:pPr>
            <w:r w:rsidRPr="00390781">
              <w:rPr>
                <w:b/>
                <w:bCs/>
                <w:sz w:val="20"/>
                <w:szCs w:val="20"/>
              </w:rPr>
              <w:t>2010</w:t>
            </w:r>
            <w:r w:rsidRPr="00390781">
              <w:rPr>
                <w:sz w:val="20"/>
                <w:szCs w:val="20"/>
              </w:rPr>
              <w:t> : Le Conseil d’Etat a annulé cette hausse générale (</w:t>
            </w:r>
            <w:r w:rsidRPr="00390781">
              <w:rPr>
                <w:i/>
                <w:iCs/>
                <w:sz w:val="20"/>
                <w:szCs w:val="20"/>
              </w:rPr>
              <w:t>Décision du 10 février 2010</w:t>
            </w:r>
            <w:r w:rsidRPr="00390781">
              <w:rPr>
                <w:sz w:val="20"/>
                <w:szCs w:val="20"/>
              </w:rPr>
              <w:t>), le pouvoir réglementaire ayant méconnu les principes d'égalité d'accès à la commande publique, d'égalité de traitement des candidats et de transparence des procédures prévus par le Code des marchés publics.</w:t>
            </w:r>
          </w:p>
          <w:p w14:paraId="6F32CC0F" w14:textId="77777777" w:rsidR="00390781" w:rsidRPr="00390781" w:rsidRDefault="00390781" w:rsidP="00390781">
            <w:pPr>
              <w:pStyle w:val="Paragraphedeliste"/>
              <w:numPr>
                <w:ilvl w:val="0"/>
                <w:numId w:val="6"/>
              </w:numPr>
              <w:spacing w:after="160" w:line="278" w:lineRule="auto"/>
              <w:jc w:val="left"/>
              <w:rPr>
                <w:sz w:val="20"/>
                <w:szCs w:val="20"/>
              </w:rPr>
            </w:pPr>
            <w:r w:rsidRPr="00390781">
              <w:rPr>
                <w:b/>
                <w:bCs/>
                <w:sz w:val="20"/>
                <w:szCs w:val="20"/>
              </w:rPr>
              <w:t>2011</w:t>
            </w:r>
            <w:r w:rsidRPr="00390781">
              <w:rPr>
                <w:sz w:val="20"/>
                <w:szCs w:val="20"/>
              </w:rPr>
              <w:t xml:space="preserve"> : Un décret a </w:t>
            </w:r>
            <w:proofErr w:type="spellStart"/>
            <w:r w:rsidRPr="00390781">
              <w:rPr>
                <w:sz w:val="20"/>
                <w:szCs w:val="20"/>
              </w:rPr>
              <w:t>ré-haussé</w:t>
            </w:r>
            <w:proofErr w:type="spellEnd"/>
            <w:r w:rsidRPr="00390781">
              <w:rPr>
                <w:sz w:val="20"/>
                <w:szCs w:val="20"/>
              </w:rPr>
              <w:t xml:space="preserve"> le seuil général de 4000 à 15 000 euros (</w:t>
            </w:r>
            <w:r w:rsidRPr="00390781">
              <w:rPr>
                <w:i/>
                <w:iCs/>
                <w:sz w:val="20"/>
                <w:szCs w:val="20"/>
              </w:rPr>
              <w:t>décret n° 2011-1853 du 9 décembre 2011</w:t>
            </w:r>
            <w:r w:rsidRPr="00390781">
              <w:rPr>
                <w:sz w:val="20"/>
                <w:szCs w:val="20"/>
              </w:rPr>
              <w:t>)</w:t>
            </w:r>
          </w:p>
          <w:p w14:paraId="0ACB4BC5" w14:textId="77777777" w:rsidR="00390781" w:rsidRPr="00390781" w:rsidRDefault="00390781" w:rsidP="00390781">
            <w:pPr>
              <w:pStyle w:val="Paragraphedeliste"/>
              <w:numPr>
                <w:ilvl w:val="0"/>
                <w:numId w:val="6"/>
              </w:numPr>
              <w:spacing w:after="160" w:line="278" w:lineRule="auto"/>
              <w:jc w:val="left"/>
              <w:rPr>
                <w:i/>
                <w:iCs/>
                <w:sz w:val="20"/>
                <w:szCs w:val="20"/>
              </w:rPr>
            </w:pPr>
            <w:r w:rsidRPr="00390781">
              <w:rPr>
                <w:b/>
                <w:bCs/>
                <w:sz w:val="20"/>
                <w:szCs w:val="20"/>
              </w:rPr>
              <w:t>2015</w:t>
            </w:r>
            <w:r w:rsidRPr="00390781">
              <w:rPr>
                <w:sz w:val="20"/>
                <w:szCs w:val="20"/>
              </w:rPr>
              <w:t> : Nouvelle hausse du seuil général de 15 000 à 25 000 euros (</w:t>
            </w:r>
            <w:r w:rsidRPr="00390781">
              <w:rPr>
                <w:i/>
                <w:iCs/>
                <w:sz w:val="20"/>
                <w:szCs w:val="20"/>
              </w:rPr>
              <w:t>décret n° 2015-1163 du 17 septembre 2015)</w:t>
            </w:r>
          </w:p>
          <w:p w14:paraId="342682D5" w14:textId="77777777" w:rsidR="00390781" w:rsidRPr="00390781" w:rsidRDefault="00390781" w:rsidP="00390781">
            <w:pPr>
              <w:pStyle w:val="Paragraphedeliste"/>
              <w:numPr>
                <w:ilvl w:val="0"/>
                <w:numId w:val="6"/>
              </w:numPr>
              <w:spacing w:after="160" w:line="278" w:lineRule="auto"/>
              <w:jc w:val="left"/>
              <w:rPr>
                <w:i/>
                <w:iCs/>
                <w:sz w:val="20"/>
                <w:szCs w:val="20"/>
              </w:rPr>
            </w:pPr>
            <w:r w:rsidRPr="00390781">
              <w:rPr>
                <w:b/>
                <w:bCs/>
                <w:sz w:val="20"/>
                <w:szCs w:val="20"/>
              </w:rPr>
              <w:lastRenderedPageBreak/>
              <w:t xml:space="preserve">2018 : </w:t>
            </w:r>
            <w:r w:rsidRPr="00390781">
              <w:rPr>
                <w:sz w:val="20"/>
                <w:szCs w:val="20"/>
              </w:rPr>
              <w:t>Hausse du seuil à 100 000 euros pour les marchés innovants de travaux, fournitures ou services. (</w:t>
            </w:r>
            <w:r w:rsidRPr="00390781">
              <w:rPr>
                <w:i/>
                <w:iCs/>
                <w:sz w:val="20"/>
                <w:szCs w:val="20"/>
              </w:rPr>
              <w:t>décret n° 2018-1225 du 24 décembre 2018</w:t>
            </w:r>
            <w:r w:rsidRPr="00390781">
              <w:rPr>
                <w:sz w:val="20"/>
                <w:szCs w:val="20"/>
              </w:rPr>
              <w:t>)</w:t>
            </w:r>
          </w:p>
          <w:p w14:paraId="4475FD0C" w14:textId="77777777" w:rsidR="00390781" w:rsidRPr="00390781" w:rsidRDefault="00390781" w:rsidP="00390781">
            <w:pPr>
              <w:pStyle w:val="Paragraphedeliste"/>
              <w:numPr>
                <w:ilvl w:val="0"/>
                <w:numId w:val="6"/>
              </w:numPr>
              <w:spacing w:after="160" w:line="278" w:lineRule="auto"/>
              <w:jc w:val="left"/>
              <w:rPr>
                <w:i/>
                <w:iCs/>
                <w:sz w:val="20"/>
                <w:szCs w:val="20"/>
              </w:rPr>
            </w:pPr>
            <w:r w:rsidRPr="00390781">
              <w:rPr>
                <w:b/>
                <w:bCs/>
                <w:sz w:val="20"/>
                <w:szCs w:val="20"/>
              </w:rPr>
              <w:t>2019</w:t>
            </w:r>
            <w:r w:rsidRPr="00390781">
              <w:rPr>
                <w:sz w:val="20"/>
                <w:szCs w:val="20"/>
              </w:rPr>
              <w:t> : Nouvelle hausse du seuil général de 25 000 euros à 40 000 euros en 2019 (</w:t>
            </w:r>
            <w:r w:rsidRPr="00390781">
              <w:rPr>
                <w:i/>
                <w:iCs/>
                <w:sz w:val="20"/>
                <w:szCs w:val="20"/>
              </w:rPr>
              <w:t>Décret n°2019-1344 du 12 décembre 2019</w:t>
            </w:r>
            <w:r w:rsidRPr="00390781">
              <w:rPr>
                <w:sz w:val="20"/>
                <w:szCs w:val="20"/>
              </w:rPr>
              <w:t>)</w:t>
            </w:r>
          </w:p>
          <w:p w14:paraId="7D797CC3" w14:textId="77777777" w:rsidR="00390781" w:rsidRPr="00390781" w:rsidRDefault="00390781" w:rsidP="00390781">
            <w:pPr>
              <w:pStyle w:val="Paragraphedeliste"/>
              <w:numPr>
                <w:ilvl w:val="0"/>
                <w:numId w:val="6"/>
              </w:numPr>
              <w:spacing w:after="160" w:line="278" w:lineRule="auto"/>
              <w:jc w:val="left"/>
              <w:rPr>
                <w:i/>
                <w:iCs/>
                <w:sz w:val="20"/>
                <w:szCs w:val="20"/>
              </w:rPr>
            </w:pPr>
            <w:r w:rsidRPr="00390781">
              <w:rPr>
                <w:b/>
                <w:bCs/>
                <w:sz w:val="20"/>
                <w:szCs w:val="20"/>
              </w:rPr>
              <w:t>2020</w:t>
            </w:r>
            <w:r w:rsidRPr="00390781">
              <w:rPr>
                <w:sz w:val="20"/>
                <w:szCs w:val="20"/>
              </w:rPr>
              <w:t> : Hausse temporaire jusqu’au 10 juillet 2021 du seuil des marchés publics de travaux à 70 000 euros, et hausse temporaire à 100 000 euros pour les produits alimentaires livrés avant le 10 décembre 2020, dans un contexte « exceptionnel » de crise sanitaire (</w:t>
            </w:r>
            <w:r w:rsidRPr="00390781">
              <w:rPr>
                <w:i/>
                <w:iCs/>
                <w:sz w:val="20"/>
                <w:szCs w:val="20"/>
              </w:rPr>
              <w:t>Décret n° 2020-893 du 22 juillet 2020</w:t>
            </w:r>
            <w:r w:rsidRPr="00390781">
              <w:rPr>
                <w:sz w:val="20"/>
                <w:szCs w:val="20"/>
              </w:rPr>
              <w:t>)</w:t>
            </w:r>
          </w:p>
          <w:p w14:paraId="38B44904" w14:textId="77777777" w:rsidR="00390781" w:rsidRPr="00390781" w:rsidRDefault="00390781" w:rsidP="00390781">
            <w:pPr>
              <w:pStyle w:val="Paragraphedeliste"/>
              <w:numPr>
                <w:ilvl w:val="0"/>
                <w:numId w:val="6"/>
              </w:numPr>
              <w:spacing w:after="160" w:line="278" w:lineRule="auto"/>
              <w:jc w:val="left"/>
              <w:rPr>
                <w:i/>
                <w:iCs/>
                <w:sz w:val="20"/>
                <w:szCs w:val="20"/>
              </w:rPr>
            </w:pPr>
            <w:r w:rsidRPr="00390781">
              <w:rPr>
                <w:b/>
                <w:bCs/>
                <w:sz w:val="20"/>
                <w:szCs w:val="20"/>
              </w:rPr>
              <w:t>2020</w:t>
            </w:r>
            <w:r w:rsidRPr="00390781">
              <w:rPr>
                <w:sz w:val="20"/>
                <w:szCs w:val="20"/>
              </w:rPr>
              <w:t> : hausse temporaire jusqu’au 31 décembre 2022 du seuil de publicité des marchés de travaux à 100 00 euros (Article 142 de la loi n°2020-1525 du 7 décembre 2020 dite « ASAP »)</w:t>
            </w:r>
          </w:p>
          <w:p w14:paraId="7761E1D0" w14:textId="77777777" w:rsidR="00390781" w:rsidRPr="00390781" w:rsidRDefault="00390781" w:rsidP="00390781">
            <w:pPr>
              <w:pStyle w:val="Paragraphedeliste"/>
              <w:numPr>
                <w:ilvl w:val="0"/>
                <w:numId w:val="6"/>
              </w:numPr>
              <w:spacing w:after="160" w:line="278" w:lineRule="auto"/>
              <w:jc w:val="left"/>
              <w:rPr>
                <w:i/>
                <w:iCs/>
                <w:sz w:val="20"/>
                <w:szCs w:val="20"/>
              </w:rPr>
            </w:pPr>
            <w:r w:rsidRPr="00390781">
              <w:rPr>
                <w:b/>
                <w:bCs/>
                <w:sz w:val="20"/>
                <w:szCs w:val="20"/>
              </w:rPr>
              <w:t>2022</w:t>
            </w:r>
            <w:r w:rsidRPr="00390781">
              <w:rPr>
                <w:sz w:val="20"/>
                <w:szCs w:val="20"/>
              </w:rPr>
              <w:t xml:space="preserve"> : prorogation de la hausse temporaire du seuil à 100 000 euros pour les marchés de travaux jusqu’au 31 décembre 2024 ( </w:t>
            </w:r>
            <w:r w:rsidRPr="00390781">
              <w:rPr>
                <w:i/>
                <w:iCs/>
                <w:sz w:val="20"/>
                <w:szCs w:val="20"/>
              </w:rPr>
              <w:t>décret n° 2022-1683 du 28 décembre 2022</w:t>
            </w:r>
            <w:r w:rsidRPr="00390781">
              <w:rPr>
                <w:sz w:val="20"/>
                <w:szCs w:val="20"/>
              </w:rPr>
              <w:t xml:space="preserve"> )</w:t>
            </w:r>
          </w:p>
          <w:p w14:paraId="0120CDB8" w14:textId="77777777" w:rsidR="00390781" w:rsidRPr="00390781" w:rsidRDefault="00390781" w:rsidP="00390781">
            <w:pPr>
              <w:rPr>
                <w:sz w:val="20"/>
                <w:szCs w:val="20"/>
              </w:rPr>
            </w:pPr>
            <w:r w:rsidRPr="00390781">
              <w:rPr>
                <w:sz w:val="20"/>
                <w:szCs w:val="20"/>
              </w:rPr>
              <w:t xml:space="preserve">Ces différentes modifications créent une situation actuelle où co-existent une multitude de seuils selon le type de marchés, à la fois pour la publicité préalable mais aussi pour la publication ex-post des données essentielles de la commande publique : </w:t>
            </w:r>
          </w:p>
          <w:p w14:paraId="6280C7B6" w14:textId="77777777" w:rsidR="00390781" w:rsidRPr="00390781" w:rsidRDefault="00390781" w:rsidP="00390781">
            <w:pPr>
              <w:pStyle w:val="Paragraphedeliste"/>
              <w:numPr>
                <w:ilvl w:val="0"/>
                <w:numId w:val="6"/>
              </w:numPr>
              <w:spacing w:after="160" w:line="278" w:lineRule="auto"/>
              <w:jc w:val="left"/>
              <w:rPr>
                <w:sz w:val="20"/>
                <w:szCs w:val="20"/>
              </w:rPr>
            </w:pPr>
            <w:r w:rsidRPr="00390781">
              <w:rPr>
                <w:sz w:val="20"/>
                <w:szCs w:val="20"/>
              </w:rPr>
              <w:t>La hausse générale du seuil de publicité préalable de 25 000 euros à 40 000 euros de 2019 a été suivie par la hausse du seuil de publicité obligatoire ex-post des données essentielles de la commande publique (</w:t>
            </w:r>
            <w:r w:rsidRPr="00390781">
              <w:rPr>
                <w:i/>
                <w:iCs/>
                <w:sz w:val="20"/>
                <w:szCs w:val="20"/>
              </w:rPr>
              <w:t>créée par le décret n° 2016-360 du 25 mars 2016</w:t>
            </w:r>
            <w:r w:rsidRPr="00390781">
              <w:rPr>
                <w:sz w:val="20"/>
                <w:szCs w:val="20"/>
              </w:rPr>
              <w:t>) , tout en créant un seuil intermédiaire entre 25 000 et 40 000 euros pour lequel les acheteurs publics peuvent soit respecter volontairement la publication intégrale des données essentielles de la commande publique, soit publier au cours du premier trimestre de chaque année, sur le support de leur choix, la liste de ces marchés conclus l’année précédente (</w:t>
            </w:r>
            <w:r w:rsidRPr="00390781">
              <w:rPr>
                <w:i/>
                <w:iCs/>
                <w:sz w:val="20"/>
                <w:szCs w:val="20"/>
              </w:rPr>
              <w:t>Décret n° 2019-1344 du 12 décembre 2019</w:t>
            </w:r>
            <w:r w:rsidRPr="00390781">
              <w:rPr>
                <w:sz w:val="20"/>
                <w:szCs w:val="20"/>
              </w:rPr>
              <w:t>).</w:t>
            </w:r>
          </w:p>
          <w:p w14:paraId="69327556" w14:textId="2E861D5F" w:rsidR="002110E9" w:rsidRDefault="002110E9">
            <w:pPr>
              <w:spacing w:after="0" w:line="240" w:lineRule="auto"/>
              <w:rPr>
                <w:sz w:val="20"/>
                <w:szCs w:val="20"/>
              </w:rPr>
            </w:pPr>
          </w:p>
        </w:tc>
      </w:tr>
      <w:tr w:rsidR="002110E9" w14:paraId="44F6A277" w14:textId="77777777" w:rsidTr="3E02D890">
        <w:tc>
          <w:tcPr>
            <w:tcW w:w="1526" w:type="dxa"/>
            <w:shd w:val="clear" w:color="auto" w:fill="auto"/>
            <w:vAlign w:val="center"/>
          </w:tcPr>
          <w:p w14:paraId="6C75FAC5" w14:textId="4F91CB4A" w:rsidR="002110E9" w:rsidRDefault="00390781">
            <w:pPr>
              <w:spacing w:after="0" w:line="240" w:lineRule="auto"/>
              <w:jc w:val="center"/>
              <w:rPr>
                <w:b/>
                <w:sz w:val="20"/>
                <w:szCs w:val="20"/>
              </w:rPr>
            </w:pPr>
            <w:r>
              <w:rPr>
                <w:b/>
                <w:sz w:val="20"/>
                <w:szCs w:val="20"/>
              </w:rPr>
              <w:lastRenderedPageBreak/>
              <w:t>Article 3</w:t>
            </w:r>
          </w:p>
        </w:tc>
        <w:tc>
          <w:tcPr>
            <w:tcW w:w="3151" w:type="dxa"/>
            <w:shd w:val="clear" w:color="auto" w:fill="FFFFFF" w:themeFill="background1"/>
            <w:vAlign w:val="center"/>
          </w:tcPr>
          <w:p w14:paraId="05223D2C" w14:textId="3B8C3F32" w:rsidR="002110E9" w:rsidRDefault="00390781">
            <w:pPr>
              <w:spacing w:after="0" w:line="240" w:lineRule="auto"/>
              <w:rPr>
                <w:sz w:val="20"/>
                <w:szCs w:val="20"/>
              </w:rPr>
            </w:pPr>
            <w:r>
              <w:rPr>
                <w:sz w:val="20"/>
                <w:szCs w:val="20"/>
              </w:rPr>
              <w:t>ONG anti-corruption</w:t>
            </w:r>
          </w:p>
        </w:tc>
        <w:tc>
          <w:tcPr>
            <w:tcW w:w="3224" w:type="dxa"/>
            <w:shd w:val="clear" w:color="auto" w:fill="auto"/>
            <w:vAlign w:val="center"/>
          </w:tcPr>
          <w:p w14:paraId="0D918027" w14:textId="6FBB7F7D" w:rsidR="002110E9" w:rsidRDefault="00390781">
            <w:pPr>
              <w:spacing w:after="0" w:line="240" w:lineRule="auto"/>
              <w:rPr>
                <w:sz w:val="20"/>
                <w:szCs w:val="20"/>
              </w:rPr>
            </w:pPr>
            <w:proofErr w:type="spellStart"/>
            <w:r>
              <w:rPr>
                <w:sz w:val="20"/>
                <w:szCs w:val="20"/>
              </w:rPr>
              <w:t>Transparency</w:t>
            </w:r>
            <w:proofErr w:type="spellEnd"/>
            <w:r>
              <w:rPr>
                <w:sz w:val="20"/>
                <w:szCs w:val="20"/>
              </w:rPr>
              <w:t xml:space="preserve"> International France</w:t>
            </w:r>
          </w:p>
        </w:tc>
        <w:tc>
          <w:tcPr>
            <w:tcW w:w="6949" w:type="dxa"/>
            <w:shd w:val="clear" w:color="auto" w:fill="auto"/>
            <w:vAlign w:val="center"/>
          </w:tcPr>
          <w:p w14:paraId="21EE105E" w14:textId="046D88F0" w:rsidR="002110E9" w:rsidRDefault="00390781">
            <w:pPr>
              <w:spacing w:after="0" w:line="240" w:lineRule="auto"/>
              <w:rPr>
                <w:sz w:val="20"/>
                <w:szCs w:val="20"/>
              </w:rPr>
            </w:pPr>
            <w:r>
              <w:rPr>
                <w:sz w:val="20"/>
                <w:szCs w:val="20"/>
              </w:rPr>
              <w:t xml:space="preserve">Pour les mêmes raisons que citées ci-dessus, </w:t>
            </w:r>
            <w:proofErr w:type="spellStart"/>
            <w:r>
              <w:rPr>
                <w:sz w:val="20"/>
                <w:szCs w:val="20"/>
              </w:rPr>
              <w:t>Transparency</w:t>
            </w:r>
            <w:proofErr w:type="spellEnd"/>
            <w:r>
              <w:rPr>
                <w:sz w:val="20"/>
                <w:szCs w:val="20"/>
              </w:rPr>
              <w:t xml:space="preserve"> International France s’oppose à la hausse à 300 000 euros du </w:t>
            </w:r>
            <w:r w:rsidRPr="00390781">
              <w:rPr>
                <w:sz w:val="20"/>
                <w:szCs w:val="20"/>
              </w:rPr>
              <w:t xml:space="preserve">le seuil de dispense de publicité et de mise en concurrence pour les marchés innovants de défense ou de sécurité.  </w:t>
            </w:r>
          </w:p>
        </w:tc>
      </w:tr>
      <w:tr w:rsidR="002110E9" w14:paraId="385C852A" w14:textId="77777777" w:rsidTr="3E02D890">
        <w:tc>
          <w:tcPr>
            <w:tcW w:w="1526" w:type="dxa"/>
            <w:shd w:val="clear" w:color="auto" w:fill="auto"/>
            <w:vAlign w:val="center"/>
          </w:tcPr>
          <w:p w14:paraId="44C39189"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1DB31A99" w14:textId="77777777" w:rsidR="002110E9" w:rsidRDefault="002110E9">
            <w:pPr>
              <w:spacing w:after="0" w:line="240" w:lineRule="auto"/>
              <w:rPr>
                <w:sz w:val="20"/>
                <w:szCs w:val="20"/>
              </w:rPr>
            </w:pPr>
          </w:p>
        </w:tc>
        <w:tc>
          <w:tcPr>
            <w:tcW w:w="3224" w:type="dxa"/>
            <w:shd w:val="clear" w:color="auto" w:fill="auto"/>
            <w:vAlign w:val="center"/>
          </w:tcPr>
          <w:p w14:paraId="7B1033A6" w14:textId="77777777" w:rsidR="002110E9" w:rsidRDefault="002110E9">
            <w:pPr>
              <w:spacing w:after="0" w:line="240" w:lineRule="auto"/>
              <w:rPr>
                <w:sz w:val="20"/>
                <w:szCs w:val="20"/>
              </w:rPr>
            </w:pPr>
          </w:p>
        </w:tc>
        <w:tc>
          <w:tcPr>
            <w:tcW w:w="6949" w:type="dxa"/>
            <w:shd w:val="clear" w:color="auto" w:fill="auto"/>
            <w:vAlign w:val="center"/>
          </w:tcPr>
          <w:p w14:paraId="379A5FDD" w14:textId="77777777" w:rsidR="002110E9" w:rsidRDefault="002110E9">
            <w:pPr>
              <w:spacing w:after="0" w:line="240" w:lineRule="auto"/>
              <w:rPr>
                <w:sz w:val="20"/>
                <w:szCs w:val="20"/>
              </w:rPr>
            </w:pPr>
          </w:p>
        </w:tc>
      </w:tr>
      <w:tr w:rsidR="002110E9" w14:paraId="2AAC7718" w14:textId="77777777" w:rsidTr="3E02D890">
        <w:tc>
          <w:tcPr>
            <w:tcW w:w="1526" w:type="dxa"/>
            <w:shd w:val="clear" w:color="auto" w:fill="auto"/>
            <w:vAlign w:val="center"/>
          </w:tcPr>
          <w:p w14:paraId="506D7AF7"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1313465A" w14:textId="77777777" w:rsidR="002110E9" w:rsidRDefault="002110E9">
            <w:pPr>
              <w:spacing w:after="0" w:line="240" w:lineRule="auto"/>
              <w:rPr>
                <w:sz w:val="20"/>
                <w:szCs w:val="20"/>
              </w:rPr>
            </w:pPr>
          </w:p>
        </w:tc>
        <w:tc>
          <w:tcPr>
            <w:tcW w:w="3224" w:type="dxa"/>
            <w:shd w:val="clear" w:color="auto" w:fill="auto"/>
            <w:vAlign w:val="center"/>
          </w:tcPr>
          <w:p w14:paraId="657E9E65" w14:textId="77777777" w:rsidR="002110E9" w:rsidRDefault="002110E9">
            <w:pPr>
              <w:spacing w:after="0" w:line="240" w:lineRule="auto"/>
              <w:rPr>
                <w:sz w:val="20"/>
                <w:szCs w:val="20"/>
              </w:rPr>
            </w:pPr>
          </w:p>
        </w:tc>
        <w:tc>
          <w:tcPr>
            <w:tcW w:w="6949" w:type="dxa"/>
            <w:shd w:val="clear" w:color="auto" w:fill="auto"/>
            <w:vAlign w:val="center"/>
          </w:tcPr>
          <w:p w14:paraId="458F6F45" w14:textId="77777777" w:rsidR="002110E9" w:rsidRDefault="002110E9">
            <w:pPr>
              <w:spacing w:after="0" w:line="240" w:lineRule="auto"/>
              <w:rPr>
                <w:sz w:val="20"/>
                <w:szCs w:val="20"/>
              </w:rPr>
            </w:pPr>
          </w:p>
        </w:tc>
      </w:tr>
      <w:tr w:rsidR="002110E9" w14:paraId="4354A1A8" w14:textId="77777777" w:rsidTr="3E02D890">
        <w:tc>
          <w:tcPr>
            <w:tcW w:w="1526" w:type="dxa"/>
            <w:shd w:val="clear" w:color="auto" w:fill="auto"/>
            <w:vAlign w:val="center"/>
          </w:tcPr>
          <w:p w14:paraId="3561A312"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7DB9AAB9" w14:textId="77777777" w:rsidR="002110E9" w:rsidRDefault="002110E9">
            <w:pPr>
              <w:spacing w:after="0" w:line="240" w:lineRule="auto"/>
              <w:rPr>
                <w:sz w:val="20"/>
                <w:szCs w:val="20"/>
              </w:rPr>
            </w:pPr>
          </w:p>
        </w:tc>
        <w:tc>
          <w:tcPr>
            <w:tcW w:w="3224" w:type="dxa"/>
            <w:shd w:val="clear" w:color="auto" w:fill="auto"/>
            <w:vAlign w:val="center"/>
          </w:tcPr>
          <w:p w14:paraId="56D77C75" w14:textId="77777777" w:rsidR="002110E9" w:rsidRDefault="002110E9">
            <w:pPr>
              <w:spacing w:after="0" w:line="240" w:lineRule="auto"/>
              <w:rPr>
                <w:sz w:val="20"/>
                <w:szCs w:val="20"/>
              </w:rPr>
            </w:pPr>
          </w:p>
        </w:tc>
        <w:tc>
          <w:tcPr>
            <w:tcW w:w="6949" w:type="dxa"/>
            <w:shd w:val="clear" w:color="auto" w:fill="auto"/>
            <w:vAlign w:val="center"/>
          </w:tcPr>
          <w:p w14:paraId="23CE7B15" w14:textId="77777777" w:rsidR="002110E9" w:rsidRDefault="002110E9">
            <w:pPr>
              <w:spacing w:after="0" w:line="240" w:lineRule="auto"/>
              <w:rPr>
                <w:sz w:val="20"/>
                <w:szCs w:val="20"/>
              </w:rPr>
            </w:pPr>
          </w:p>
        </w:tc>
      </w:tr>
      <w:tr w:rsidR="002110E9" w14:paraId="1422E91A" w14:textId="77777777" w:rsidTr="3E02D890">
        <w:tc>
          <w:tcPr>
            <w:tcW w:w="1526" w:type="dxa"/>
            <w:shd w:val="clear" w:color="auto" w:fill="auto"/>
            <w:vAlign w:val="center"/>
          </w:tcPr>
          <w:p w14:paraId="20CA7962"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129F65CB" w14:textId="77777777" w:rsidR="002110E9" w:rsidRDefault="002110E9">
            <w:pPr>
              <w:spacing w:after="0" w:line="240" w:lineRule="auto"/>
              <w:rPr>
                <w:sz w:val="20"/>
                <w:szCs w:val="20"/>
              </w:rPr>
            </w:pPr>
          </w:p>
        </w:tc>
        <w:tc>
          <w:tcPr>
            <w:tcW w:w="3224" w:type="dxa"/>
            <w:shd w:val="clear" w:color="auto" w:fill="auto"/>
            <w:vAlign w:val="center"/>
          </w:tcPr>
          <w:p w14:paraId="0810D146" w14:textId="77777777" w:rsidR="002110E9" w:rsidRDefault="002110E9">
            <w:pPr>
              <w:spacing w:after="0" w:line="240" w:lineRule="auto"/>
              <w:rPr>
                <w:sz w:val="20"/>
                <w:szCs w:val="20"/>
              </w:rPr>
            </w:pPr>
          </w:p>
        </w:tc>
        <w:tc>
          <w:tcPr>
            <w:tcW w:w="6949" w:type="dxa"/>
            <w:shd w:val="clear" w:color="auto" w:fill="auto"/>
            <w:vAlign w:val="center"/>
          </w:tcPr>
          <w:p w14:paraId="08392A92" w14:textId="77777777" w:rsidR="002110E9" w:rsidRDefault="002110E9">
            <w:pPr>
              <w:spacing w:after="0" w:line="240" w:lineRule="auto"/>
              <w:rPr>
                <w:sz w:val="20"/>
                <w:szCs w:val="20"/>
              </w:rPr>
            </w:pPr>
          </w:p>
        </w:tc>
      </w:tr>
      <w:tr w:rsidR="002110E9" w14:paraId="0BEE4E02" w14:textId="77777777" w:rsidTr="3E02D890">
        <w:tc>
          <w:tcPr>
            <w:tcW w:w="1526" w:type="dxa"/>
            <w:shd w:val="clear" w:color="auto" w:fill="auto"/>
            <w:vAlign w:val="center"/>
          </w:tcPr>
          <w:p w14:paraId="1A55378E"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52410366" w14:textId="77777777" w:rsidR="002110E9" w:rsidRDefault="002110E9">
            <w:pPr>
              <w:spacing w:after="0" w:line="240" w:lineRule="auto"/>
              <w:rPr>
                <w:sz w:val="20"/>
                <w:szCs w:val="20"/>
              </w:rPr>
            </w:pPr>
          </w:p>
        </w:tc>
        <w:tc>
          <w:tcPr>
            <w:tcW w:w="3224" w:type="dxa"/>
            <w:shd w:val="clear" w:color="auto" w:fill="auto"/>
            <w:vAlign w:val="center"/>
          </w:tcPr>
          <w:p w14:paraId="232C3E77" w14:textId="77777777" w:rsidR="002110E9" w:rsidRDefault="002110E9">
            <w:pPr>
              <w:spacing w:after="0" w:line="240" w:lineRule="auto"/>
              <w:rPr>
                <w:sz w:val="20"/>
                <w:szCs w:val="20"/>
              </w:rPr>
            </w:pPr>
          </w:p>
        </w:tc>
        <w:tc>
          <w:tcPr>
            <w:tcW w:w="6949" w:type="dxa"/>
            <w:shd w:val="clear" w:color="auto" w:fill="auto"/>
            <w:vAlign w:val="center"/>
          </w:tcPr>
          <w:p w14:paraId="73652FF9" w14:textId="77777777" w:rsidR="002110E9" w:rsidRDefault="002110E9">
            <w:pPr>
              <w:spacing w:after="0" w:line="240" w:lineRule="auto"/>
              <w:rPr>
                <w:sz w:val="20"/>
                <w:szCs w:val="20"/>
              </w:rPr>
            </w:pPr>
          </w:p>
        </w:tc>
      </w:tr>
      <w:tr w:rsidR="002110E9" w14:paraId="71EC7B3C" w14:textId="77777777" w:rsidTr="3E02D890">
        <w:tc>
          <w:tcPr>
            <w:tcW w:w="1526" w:type="dxa"/>
            <w:shd w:val="clear" w:color="auto" w:fill="auto"/>
            <w:vAlign w:val="center"/>
          </w:tcPr>
          <w:p w14:paraId="50336197"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5E33C6E7" w14:textId="77777777" w:rsidR="002110E9" w:rsidRDefault="002110E9">
            <w:pPr>
              <w:spacing w:after="0" w:line="240" w:lineRule="auto"/>
              <w:rPr>
                <w:sz w:val="20"/>
                <w:szCs w:val="20"/>
              </w:rPr>
            </w:pPr>
          </w:p>
        </w:tc>
        <w:tc>
          <w:tcPr>
            <w:tcW w:w="3224" w:type="dxa"/>
            <w:shd w:val="clear" w:color="auto" w:fill="auto"/>
            <w:vAlign w:val="center"/>
          </w:tcPr>
          <w:p w14:paraId="03627F16" w14:textId="77777777" w:rsidR="002110E9" w:rsidRDefault="002110E9">
            <w:pPr>
              <w:spacing w:after="0" w:line="240" w:lineRule="auto"/>
              <w:rPr>
                <w:sz w:val="20"/>
                <w:szCs w:val="20"/>
              </w:rPr>
            </w:pPr>
          </w:p>
        </w:tc>
        <w:tc>
          <w:tcPr>
            <w:tcW w:w="6949" w:type="dxa"/>
            <w:shd w:val="clear" w:color="auto" w:fill="auto"/>
            <w:vAlign w:val="center"/>
          </w:tcPr>
          <w:p w14:paraId="74B2296F" w14:textId="77777777" w:rsidR="002110E9" w:rsidRDefault="002110E9">
            <w:pPr>
              <w:spacing w:after="0" w:line="240" w:lineRule="auto"/>
              <w:rPr>
                <w:sz w:val="20"/>
                <w:szCs w:val="20"/>
              </w:rPr>
            </w:pPr>
          </w:p>
        </w:tc>
      </w:tr>
      <w:tr w:rsidR="002110E9" w14:paraId="1608DBE7" w14:textId="77777777" w:rsidTr="3E02D890">
        <w:tc>
          <w:tcPr>
            <w:tcW w:w="1526" w:type="dxa"/>
            <w:shd w:val="clear" w:color="auto" w:fill="auto"/>
            <w:vAlign w:val="center"/>
          </w:tcPr>
          <w:p w14:paraId="1840AD00"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0439AAC0" w14:textId="77777777" w:rsidR="002110E9" w:rsidRDefault="002110E9">
            <w:pPr>
              <w:spacing w:after="0" w:line="240" w:lineRule="auto"/>
              <w:rPr>
                <w:sz w:val="20"/>
                <w:szCs w:val="20"/>
              </w:rPr>
            </w:pPr>
          </w:p>
        </w:tc>
        <w:tc>
          <w:tcPr>
            <w:tcW w:w="3224" w:type="dxa"/>
            <w:shd w:val="clear" w:color="auto" w:fill="auto"/>
            <w:vAlign w:val="center"/>
          </w:tcPr>
          <w:p w14:paraId="335841BF" w14:textId="77777777" w:rsidR="002110E9" w:rsidRDefault="002110E9">
            <w:pPr>
              <w:spacing w:after="0" w:line="240" w:lineRule="auto"/>
              <w:rPr>
                <w:sz w:val="20"/>
                <w:szCs w:val="20"/>
              </w:rPr>
            </w:pPr>
          </w:p>
        </w:tc>
        <w:tc>
          <w:tcPr>
            <w:tcW w:w="6949" w:type="dxa"/>
            <w:shd w:val="clear" w:color="auto" w:fill="auto"/>
            <w:vAlign w:val="center"/>
          </w:tcPr>
          <w:p w14:paraId="5BDF067D" w14:textId="77777777" w:rsidR="002110E9" w:rsidRDefault="002110E9">
            <w:pPr>
              <w:spacing w:after="0" w:line="240" w:lineRule="auto"/>
              <w:rPr>
                <w:sz w:val="20"/>
                <w:szCs w:val="20"/>
              </w:rPr>
            </w:pPr>
          </w:p>
        </w:tc>
      </w:tr>
      <w:tr w:rsidR="002110E9" w14:paraId="10548742" w14:textId="77777777" w:rsidTr="3E02D890">
        <w:tc>
          <w:tcPr>
            <w:tcW w:w="1526" w:type="dxa"/>
            <w:shd w:val="clear" w:color="auto" w:fill="auto"/>
            <w:vAlign w:val="center"/>
          </w:tcPr>
          <w:p w14:paraId="6CE8F55F"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401A3027" w14:textId="77777777" w:rsidR="002110E9" w:rsidRDefault="002110E9">
            <w:pPr>
              <w:spacing w:after="0" w:line="240" w:lineRule="auto"/>
              <w:rPr>
                <w:sz w:val="20"/>
                <w:szCs w:val="20"/>
              </w:rPr>
            </w:pPr>
          </w:p>
        </w:tc>
        <w:tc>
          <w:tcPr>
            <w:tcW w:w="3224" w:type="dxa"/>
            <w:shd w:val="clear" w:color="auto" w:fill="auto"/>
            <w:vAlign w:val="center"/>
          </w:tcPr>
          <w:p w14:paraId="47B61EB6" w14:textId="77777777" w:rsidR="002110E9" w:rsidRDefault="002110E9">
            <w:pPr>
              <w:spacing w:after="0" w:line="240" w:lineRule="auto"/>
              <w:rPr>
                <w:sz w:val="20"/>
                <w:szCs w:val="20"/>
              </w:rPr>
            </w:pPr>
          </w:p>
        </w:tc>
        <w:tc>
          <w:tcPr>
            <w:tcW w:w="6949" w:type="dxa"/>
            <w:shd w:val="clear" w:color="auto" w:fill="auto"/>
            <w:vAlign w:val="center"/>
          </w:tcPr>
          <w:p w14:paraId="30C4FE17" w14:textId="77777777" w:rsidR="002110E9" w:rsidRDefault="002110E9">
            <w:pPr>
              <w:spacing w:after="0" w:line="240" w:lineRule="auto"/>
              <w:rPr>
                <w:sz w:val="20"/>
                <w:szCs w:val="20"/>
              </w:rPr>
            </w:pPr>
          </w:p>
        </w:tc>
      </w:tr>
      <w:tr w:rsidR="002110E9" w14:paraId="5CADDCF4" w14:textId="77777777" w:rsidTr="3E02D890">
        <w:tc>
          <w:tcPr>
            <w:tcW w:w="1526" w:type="dxa"/>
            <w:shd w:val="clear" w:color="auto" w:fill="auto"/>
            <w:vAlign w:val="center"/>
          </w:tcPr>
          <w:p w14:paraId="15D5ACB8"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414FDC18" w14:textId="77777777" w:rsidR="002110E9" w:rsidRDefault="002110E9">
            <w:pPr>
              <w:spacing w:after="0" w:line="240" w:lineRule="auto"/>
              <w:rPr>
                <w:sz w:val="20"/>
                <w:szCs w:val="20"/>
              </w:rPr>
            </w:pPr>
          </w:p>
        </w:tc>
        <w:tc>
          <w:tcPr>
            <w:tcW w:w="3224" w:type="dxa"/>
            <w:shd w:val="clear" w:color="auto" w:fill="auto"/>
            <w:vAlign w:val="center"/>
          </w:tcPr>
          <w:p w14:paraId="2FBB68F9" w14:textId="77777777" w:rsidR="002110E9" w:rsidRDefault="002110E9">
            <w:pPr>
              <w:spacing w:after="0" w:line="240" w:lineRule="auto"/>
              <w:rPr>
                <w:sz w:val="20"/>
                <w:szCs w:val="20"/>
              </w:rPr>
            </w:pPr>
          </w:p>
        </w:tc>
        <w:tc>
          <w:tcPr>
            <w:tcW w:w="6949" w:type="dxa"/>
            <w:shd w:val="clear" w:color="auto" w:fill="auto"/>
            <w:vAlign w:val="center"/>
          </w:tcPr>
          <w:p w14:paraId="43B6F3A5" w14:textId="77777777" w:rsidR="002110E9" w:rsidRDefault="002110E9">
            <w:pPr>
              <w:spacing w:after="0" w:line="240" w:lineRule="auto"/>
              <w:rPr>
                <w:sz w:val="20"/>
                <w:szCs w:val="20"/>
              </w:rPr>
            </w:pPr>
          </w:p>
        </w:tc>
      </w:tr>
      <w:tr w:rsidR="002110E9" w14:paraId="067FF474" w14:textId="77777777" w:rsidTr="3E02D890">
        <w:tc>
          <w:tcPr>
            <w:tcW w:w="1526" w:type="dxa"/>
            <w:shd w:val="clear" w:color="auto" w:fill="auto"/>
            <w:vAlign w:val="center"/>
          </w:tcPr>
          <w:p w14:paraId="15025895"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160CFABD" w14:textId="77777777" w:rsidR="002110E9" w:rsidRDefault="002110E9">
            <w:pPr>
              <w:spacing w:after="0" w:line="240" w:lineRule="auto"/>
              <w:rPr>
                <w:sz w:val="20"/>
                <w:szCs w:val="20"/>
              </w:rPr>
            </w:pPr>
          </w:p>
        </w:tc>
        <w:tc>
          <w:tcPr>
            <w:tcW w:w="3224" w:type="dxa"/>
            <w:shd w:val="clear" w:color="auto" w:fill="auto"/>
            <w:vAlign w:val="center"/>
          </w:tcPr>
          <w:p w14:paraId="0AFBD764" w14:textId="77777777" w:rsidR="002110E9" w:rsidRDefault="002110E9">
            <w:pPr>
              <w:spacing w:after="0" w:line="240" w:lineRule="auto"/>
              <w:rPr>
                <w:sz w:val="20"/>
                <w:szCs w:val="20"/>
              </w:rPr>
            </w:pPr>
          </w:p>
        </w:tc>
        <w:tc>
          <w:tcPr>
            <w:tcW w:w="6949" w:type="dxa"/>
            <w:shd w:val="clear" w:color="auto" w:fill="auto"/>
            <w:vAlign w:val="center"/>
          </w:tcPr>
          <w:p w14:paraId="7A82C9AD" w14:textId="77777777" w:rsidR="002110E9" w:rsidRDefault="002110E9">
            <w:pPr>
              <w:spacing w:after="0" w:line="240" w:lineRule="auto"/>
              <w:rPr>
                <w:sz w:val="20"/>
                <w:szCs w:val="20"/>
              </w:rPr>
            </w:pPr>
          </w:p>
        </w:tc>
      </w:tr>
      <w:tr w:rsidR="002110E9" w14:paraId="195C9F33" w14:textId="77777777" w:rsidTr="3E02D890">
        <w:tc>
          <w:tcPr>
            <w:tcW w:w="1526" w:type="dxa"/>
            <w:shd w:val="clear" w:color="auto" w:fill="auto"/>
            <w:vAlign w:val="center"/>
          </w:tcPr>
          <w:p w14:paraId="75D1AA54" w14:textId="77777777" w:rsidR="002110E9" w:rsidRDefault="002110E9">
            <w:pPr>
              <w:spacing w:after="0" w:line="240" w:lineRule="auto"/>
              <w:jc w:val="center"/>
              <w:rPr>
                <w:b/>
                <w:sz w:val="20"/>
                <w:szCs w:val="20"/>
              </w:rPr>
            </w:pPr>
          </w:p>
        </w:tc>
        <w:tc>
          <w:tcPr>
            <w:tcW w:w="3151" w:type="dxa"/>
            <w:shd w:val="clear" w:color="auto" w:fill="FFFFFF" w:themeFill="background1"/>
            <w:vAlign w:val="center"/>
          </w:tcPr>
          <w:p w14:paraId="07804E75" w14:textId="77777777" w:rsidR="002110E9" w:rsidRDefault="002110E9">
            <w:pPr>
              <w:spacing w:after="0" w:line="240" w:lineRule="auto"/>
              <w:rPr>
                <w:sz w:val="20"/>
                <w:szCs w:val="20"/>
              </w:rPr>
            </w:pPr>
          </w:p>
        </w:tc>
        <w:tc>
          <w:tcPr>
            <w:tcW w:w="3224" w:type="dxa"/>
            <w:shd w:val="clear" w:color="auto" w:fill="auto"/>
            <w:vAlign w:val="center"/>
          </w:tcPr>
          <w:p w14:paraId="604E8E62" w14:textId="77777777" w:rsidR="002110E9" w:rsidRDefault="002110E9">
            <w:pPr>
              <w:spacing w:after="0" w:line="240" w:lineRule="auto"/>
              <w:rPr>
                <w:sz w:val="20"/>
                <w:szCs w:val="20"/>
              </w:rPr>
            </w:pPr>
          </w:p>
        </w:tc>
        <w:tc>
          <w:tcPr>
            <w:tcW w:w="6949" w:type="dxa"/>
            <w:shd w:val="clear" w:color="auto" w:fill="auto"/>
            <w:vAlign w:val="center"/>
          </w:tcPr>
          <w:p w14:paraId="40B92210" w14:textId="77777777" w:rsidR="002110E9" w:rsidRDefault="002110E9">
            <w:pPr>
              <w:spacing w:after="0" w:line="240" w:lineRule="auto"/>
              <w:rPr>
                <w:sz w:val="20"/>
                <w:szCs w:val="20"/>
              </w:rPr>
            </w:pPr>
          </w:p>
        </w:tc>
      </w:tr>
    </w:tbl>
    <w:p w14:paraId="115423C6" w14:textId="77777777" w:rsidR="002110E9" w:rsidRDefault="002110E9">
      <w:pPr>
        <w:spacing w:after="0" w:line="240" w:lineRule="auto"/>
        <w:rPr>
          <w:rFonts w:ascii="Times New Roman" w:hAnsi="Times New Roman"/>
        </w:rPr>
      </w:pPr>
    </w:p>
    <w:sectPr w:rsidR="002110E9">
      <w:headerReference w:type="default" r:id="rId17"/>
      <w:footerReference w:type="default" r:id="rId18"/>
      <w:pgSz w:w="16838" w:h="11906" w:orient="landscape"/>
      <w:pgMar w:top="1134" w:right="1134" w:bottom="1134" w:left="1134" w:header="34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evin Gernier (TI FR)" w:date="2024-11-15T19:48:00Z" w:initials="KF">
    <w:p w14:paraId="16F003DE" w14:textId="66706610" w:rsidR="00507CC5" w:rsidRDefault="00507CC5">
      <w:r>
        <w:annotationRef/>
      </w:r>
      <w:r w:rsidRPr="364B6F1D">
        <w:t xml:space="preserve">Cette </w:t>
      </w:r>
      <w:r w:rsidRPr="364B6F1D">
        <w:t>proposition précise est nouvelle, à faire valider par Patrick éventuellement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F003D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C56F8D" w16cex:dateUtc="2024-11-15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F003DE" w16cid:durableId="2EC56F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3FF0A" w14:textId="77777777" w:rsidR="002110E9" w:rsidRDefault="00390781">
      <w:pPr>
        <w:spacing w:after="0" w:line="240" w:lineRule="auto"/>
      </w:pPr>
      <w:r>
        <w:separator/>
      </w:r>
    </w:p>
  </w:endnote>
  <w:endnote w:type="continuationSeparator" w:id="0">
    <w:p w14:paraId="6BE80CC4" w14:textId="77777777" w:rsidR="002110E9" w:rsidRDefault="0039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rianne">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rianne Medium">
    <w:altName w:val="Calibri"/>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D7CFC" w14:textId="77777777" w:rsidR="002110E9" w:rsidRDefault="002110E9">
    <w:pPr>
      <w:pStyle w:val="Pieddepage"/>
      <w:tabs>
        <w:tab w:val="clear" w:pos="4536"/>
        <w:tab w:val="center" w:pos="3119"/>
      </w:tabs>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B4D6A" w14:textId="77777777" w:rsidR="002110E9" w:rsidRDefault="00390781">
      <w:pPr>
        <w:spacing w:after="0" w:line="240" w:lineRule="auto"/>
      </w:pPr>
      <w:r>
        <w:separator/>
      </w:r>
    </w:p>
  </w:footnote>
  <w:footnote w:type="continuationSeparator" w:id="0">
    <w:p w14:paraId="6F869E66" w14:textId="77777777" w:rsidR="002110E9" w:rsidRDefault="00390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93B4" w14:textId="77777777" w:rsidR="002110E9" w:rsidRDefault="002110E9">
    <w:pPr>
      <w:tabs>
        <w:tab w:val="center" w:pos="4536"/>
        <w:tab w:val="right" w:pos="9072"/>
      </w:tabs>
      <w:spacing w:after="0" w:line="240" w:lineRule="auto"/>
      <w:rPr>
        <w:rFonts w:eastAsia="Palatino Linotype"/>
        <w:sz w:val="18"/>
        <w:szCs w:val="16"/>
      </w:rPr>
    </w:pPr>
  </w:p>
  <w:p w14:paraId="062C27E0" w14:textId="77777777" w:rsidR="002110E9" w:rsidRDefault="002110E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A5CDC"/>
    <w:multiLevelType w:val="hybridMultilevel"/>
    <w:tmpl w:val="6A386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A52952"/>
    <w:multiLevelType w:val="hybridMultilevel"/>
    <w:tmpl w:val="A79812A2"/>
    <w:lvl w:ilvl="0" w:tplc="8D84A4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3D6677"/>
    <w:multiLevelType w:val="hybridMultilevel"/>
    <w:tmpl w:val="0070323E"/>
    <w:lvl w:ilvl="0" w:tplc="9D4C1C2A">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76E1465"/>
    <w:multiLevelType w:val="hybridMultilevel"/>
    <w:tmpl w:val="1C9E421E"/>
    <w:lvl w:ilvl="0" w:tplc="9D4C1C2A">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984BE8"/>
    <w:multiLevelType w:val="hybridMultilevel"/>
    <w:tmpl w:val="A470EC60"/>
    <w:lvl w:ilvl="0" w:tplc="F176BEA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220D44"/>
    <w:multiLevelType w:val="hybridMultilevel"/>
    <w:tmpl w:val="682A874E"/>
    <w:lvl w:ilvl="0" w:tplc="B3D8E2DA">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0209231">
    <w:abstractNumId w:val="2"/>
  </w:num>
  <w:num w:numId="2" w16cid:durableId="1689336271">
    <w:abstractNumId w:val="4"/>
  </w:num>
  <w:num w:numId="3" w16cid:durableId="984118309">
    <w:abstractNumId w:val="1"/>
  </w:num>
  <w:num w:numId="4" w16cid:durableId="2111315532">
    <w:abstractNumId w:val="3"/>
  </w:num>
  <w:num w:numId="5" w16cid:durableId="971902205">
    <w:abstractNumId w:val="0"/>
  </w:num>
  <w:num w:numId="6" w16cid:durableId="13039288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Gernier (TI FR)">
    <w15:presenceInfo w15:providerId="AD" w15:userId="S::kevin.gernier@transparency-france.org::2a1ab571-0638-47f2-a319-d58e9d2dc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0E9"/>
    <w:rsid w:val="0006763F"/>
    <w:rsid w:val="002110E9"/>
    <w:rsid w:val="00221B1C"/>
    <w:rsid w:val="00390781"/>
    <w:rsid w:val="00507CC5"/>
    <w:rsid w:val="00557BEA"/>
    <w:rsid w:val="009330B6"/>
    <w:rsid w:val="00B6203F"/>
    <w:rsid w:val="00CA55EB"/>
    <w:rsid w:val="00D51702"/>
    <w:rsid w:val="00F70DF2"/>
    <w:rsid w:val="18F589B3"/>
    <w:rsid w:val="20B32F8F"/>
    <w:rsid w:val="2AF08B81"/>
    <w:rsid w:val="3270A036"/>
    <w:rsid w:val="3E02D890"/>
    <w:rsid w:val="51897133"/>
    <w:rsid w:val="69495848"/>
    <w:rsid w:val="766B27AB"/>
    <w:rsid w:val="7EBFE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F0FF89"/>
  <w15:docId w15:val="{126C478F-3E90-422D-B834-C970A866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rFonts w:ascii="Marianne" w:hAnsi="Marianne"/>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uiPriority w:val="99"/>
    <w:semiHidden/>
    <w:rPr>
      <w:color w:val="808080"/>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styleId="Sansinterligne">
    <w:name w:val="No Spacing"/>
    <w:uiPriority w:val="1"/>
    <w:qFormat/>
    <w:pPr>
      <w:jc w:val="both"/>
    </w:pPr>
    <w:rPr>
      <w:rFonts w:ascii="Marianne" w:hAnsi="Marianne"/>
      <w:sz w:val="22"/>
      <w:szCs w:val="22"/>
      <w:lang w:eastAsia="en-US"/>
    </w:rPr>
  </w:style>
  <w:style w:type="paragraph" w:styleId="Paragraphedeliste">
    <w:name w:val="List Paragraph"/>
    <w:basedOn w:val="Normal"/>
    <w:uiPriority w:val="34"/>
    <w:qFormat/>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rFonts w:ascii="Marianne" w:hAnsi="Marianne"/>
      <w:lang w:eastAsia="en-US"/>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557BEA"/>
    <w:rPr>
      <w:rFonts w:ascii="Marianne" w:hAnsi="Marianne"/>
      <w:sz w:val="22"/>
      <w:szCs w:val="22"/>
      <w:lang w:eastAsia="en-US"/>
    </w:rPr>
  </w:style>
  <w:style w:type="character" w:styleId="Lienhypertexte">
    <w:name w:val="Hyperlink"/>
    <w:basedOn w:val="Policepardfaut"/>
    <w:uiPriority w:val="99"/>
    <w:unhideWhenUsed/>
    <w:rsid w:val="00F70DF2"/>
    <w:rPr>
      <w:color w:val="0000FF" w:themeColor="hyperlink"/>
      <w:u w:val="single"/>
    </w:rPr>
  </w:style>
  <w:style w:type="character" w:styleId="Mentionnonrsolue">
    <w:name w:val="Unresolved Mention"/>
    <w:basedOn w:val="Policepardfaut"/>
    <w:uiPriority w:val="99"/>
    <w:semiHidden/>
    <w:unhideWhenUsed/>
    <w:rsid w:val="00F70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ome-affairs.ec.europa.eu/news/commission-presents-new-study-areas-most-risk-corruption-2024-11-04_en"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BD473DD6B44BCCA63F135C4EC54A05"/>
        <w:category>
          <w:name w:val="Général"/>
          <w:gallery w:val="placeholder"/>
        </w:category>
        <w:types>
          <w:type w:val="bbPlcHdr"/>
        </w:types>
        <w:behaviors>
          <w:behavior w:val="content"/>
        </w:behaviors>
        <w:guid w:val="{108954BE-8B3F-4532-A568-940566272F86}"/>
      </w:docPartPr>
      <w:docPartBody>
        <w:p w:rsidR="00D51702" w:rsidRDefault="00D51702">
          <w:pPr>
            <w:pStyle w:val="25BD473DD6B44BCCA63F135C4EC54A05"/>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rianne">
    <w:altName w:val="Calibri"/>
    <w:charset w:val="00"/>
    <w:family w:val="auto"/>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rianne Medium">
    <w:altName w:val="Calibri"/>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702"/>
    <w:rsid w:val="0006763F"/>
    <w:rsid w:val="009330B6"/>
    <w:rsid w:val="00D51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Pr>
      <w:color w:val="808080"/>
    </w:rPr>
  </w:style>
  <w:style w:type="paragraph" w:customStyle="1" w:styleId="25BD473DD6B44BCCA63F135C4EC54A05">
    <w:name w:val="25BD473DD6B44BCCA63F135C4EC54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e66408e-7cb2-40b5-9ee7-0dd8435032cb" xsi:nil="true"/>
    <_ip_UnifiedCompliancePolicyProperties xmlns="http://schemas.microsoft.com/sharepoint/v3" xsi:nil="true"/>
    <lcf76f155ced4ddcb4097134ff3c332f xmlns="5e66408e-7cb2-40b5-9ee7-0dd8435032cb">
      <Terms xmlns="http://schemas.microsoft.com/office/infopath/2007/PartnerControls"/>
    </lcf76f155ced4ddcb4097134ff3c332f>
    <TaxCatchAll xmlns="83e95a3d-d3e3-4ab9-adc5-9b5c6d14066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523AF85F836448AC9FC4A9A37EC6C" ma:contentTypeVersion="21" ma:contentTypeDescription="Create a new document." ma:contentTypeScope="" ma:versionID="94b6359bd2a0b4e395d1b9e9f38e425a">
  <xsd:schema xmlns:xsd="http://www.w3.org/2001/XMLSchema" xmlns:xs="http://www.w3.org/2001/XMLSchema" xmlns:p="http://schemas.microsoft.com/office/2006/metadata/properties" xmlns:ns1="http://schemas.microsoft.com/sharepoint/v3" xmlns:ns2="5e66408e-7cb2-40b5-9ee7-0dd8435032cb" xmlns:ns3="83e95a3d-d3e3-4ab9-adc5-9b5c6d140667" targetNamespace="http://schemas.microsoft.com/office/2006/metadata/properties" ma:root="true" ma:fieldsID="65fc32b372695bcac3edfc3cae45efa3" ns1:_="" ns2:_="" ns3:_="">
    <xsd:import namespace="http://schemas.microsoft.com/sharepoint/v3"/>
    <xsd:import namespace="5e66408e-7cb2-40b5-9ee7-0dd8435032cb"/>
    <xsd:import namespace="83e95a3d-d3e3-4ab9-adc5-9b5c6d1406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6408e-7cb2-40b5-9ee7-0dd843503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95a3d-d3e3-4ab9-adc5-9b5c6d1406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d8ee29-17e3-42c8-9049-bc3ed43d493c}" ma:internalName="TaxCatchAll" ma:showField="CatchAllData" ma:web="83e95a3d-d3e3-4ab9-adc5-9b5c6d140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69F2A-6CC5-494D-9549-8C97444DF385}">
  <ds:schemaRefs>
    <ds:schemaRef ds:uri="http://schemas.microsoft.com/office/2006/metadata/properties"/>
    <ds:schemaRef ds:uri="http://schemas.microsoft.com/office/infopath/2007/PartnerControls"/>
    <ds:schemaRef ds:uri="http://schemas.microsoft.com/sharepoint/v3"/>
    <ds:schemaRef ds:uri="5e66408e-7cb2-40b5-9ee7-0dd8435032cb"/>
    <ds:schemaRef ds:uri="83e95a3d-d3e3-4ab9-adc5-9b5c6d140667"/>
  </ds:schemaRefs>
</ds:datastoreItem>
</file>

<file path=customXml/itemProps2.xml><?xml version="1.0" encoding="utf-8"?>
<ds:datastoreItem xmlns:ds="http://schemas.openxmlformats.org/officeDocument/2006/customXml" ds:itemID="{5A3EDB45-3B3C-4DB6-A0B8-B038F8E336DD}">
  <ds:schemaRefs>
    <ds:schemaRef ds:uri="http://schemas.openxmlformats.org/officeDocument/2006/bibliography"/>
  </ds:schemaRefs>
</ds:datastoreItem>
</file>

<file path=customXml/itemProps3.xml><?xml version="1.0" encoding="utf-8"?>
<ds:datastoreItem xmlns:ds="http://schemas.openxmlformats.org/officeDocument/2006/customXml" ds:itemID="{B7DAE75E-432F-4105-9B33-1C19C91BBD1E}">
  <ds:schemaRefs>
    <ds:schemaRef ds:uri="http://schemas.microsoft.com/sharepoint/v3/contenttype/forms"/>
  </ds:schemaRefs>
</ds:datastoreItem>
</file>

<file path=customXml/itemProps4.xml><?xml version="1.0" encoding="utf-8"?>
<ds:datastoreItem xmlns:ds="http://schemas.openxmlformats.org/officeDocument/2006/customXml" ds:itemID="{128F4757-F338-4F2F-9D62-7290C20B6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6408e-7cb2-40b5-9ee7-0dd8435032cb"/>
    <ds:schemaRef ds:uri="83e95a3d-d3e3-4ab9-adc5-9b5c6d140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5203</Characters>
  <Application>Microsoft Office Word</Application>
  <DocSecurity>0</DocSecurity>
  <Lines>43</Lines>
  <Paragraphs>12</Paragraphs>
  <ScaleCrop>false</ScaleCrop>
  <Company>MINEFI</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BROTONS Frederic</dc:creator>
  <cp:lastModifiedBy>Kevin Gernier (TI FR)</cp:lastModifiedBy>
  <cp:revision>9</cp:revision>
  <dcterms:created xsi:type="dcterms:W3CDTF">2024-11-15T18:38:00Z</dcterms:created>
  <dcterms:modified xsi:type="dcterms:W3CDTF">2024-11-18T18:34:00Z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0x010100B88523AF85F836448AC9FC4A9A37EC6C</vt:lpwstr>
  </property>
  <property fmtid="{D5CDD505-2E9C-101B-9397-08002B2CF9AE}" pid="3" name="MediaServiceImageTags">
    <vt:lpwstr/>
  </property>
</Properties>
</file>