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C1523" w14:textId="5A2CB2A3" w:rsidR="006F1648" w:rsidRPr="00875906" w:rsidRDefault="00875906" w:rsidP="005A6DC7">
      <w:pPr>
        <w:jc w:val="center"/>
        <w:rPr>
          <w:b/>
          <w:bCs/>
          <w:sz w:val="36"/>
          <w:szCs w:val="36"/>
        </w:rPr>
      </w:pPr>
      <w:r>
        <w:rPr>
          <w:b/>
          <w:bCs/>
          <w:sz w:val="36"/>
          <w:szCs w:val="36"/>
        </w:rPr>
        <w:t>Suggestions</w:t>
      </w:r>
      <w:r w:rsidR="006F1648" w:rsidRPr="00875906">
        <w:rPr>
          <w:b/>
          <w:bCs/>
          <w:sz w:val="36"/>
          <w:szCs w:val="36"/>
        </w:rPr>
        <w:t xml:space="preserve"> d’amendements </w:t>
      </w:r>
      <w:r w:rsidR="005A6DC7" w:rsidRPr="00875906">
        <w:rPr>
          <w:b/>
          <w:bCs/>
          <w:sz w:val="36"/>
          <w:szCs w:val="36"/>
        </w:rPr>
        <w:t xml:space="preserve">de </w:t>
      </w:r>
      <w:proofErr w:type="spellStart"/>
      <w:r w:rsidR="005A6DC7" w:rsidRPr="00875906">
        <w:rPr>
          <w:b/>
          <w:bCs/>
          <w:sz w:val="36"/>
          <w:szCs w:val="36"/>
        </w:rPr>
        <w:t>Transparency</w:t>
      </w:r>
      <w:proofErr w:type="spellEnd"/>
      <w:r w:rsidR="005A6DC7" w:rsidRPr="00875906">
        <w:rPr>
          <w:b/>
          <w:bCs/>
          <w:sz w:val="36"/>
          <w:szCs w:val="36"/>
        </w:rPr>
        <w:t xml:space="preserve"> International France au</w:t>
      </w:r>
      <w:r w:rsidR="006F1648" w:rsidRPr="00875906">
        <w:rPr>
          <w:b/>
          <w:bCs/>
          <w:sz w:val="36"/>
          <w:szCs w:val="36"/>
        </w:rPr>
        <w:t xml:space="preserve"> projet de loi de simplification de la vie économique</w:t>
      </w:r>
      <w:r w:rsidR="005A6DC7" w:rsidRPr="00875906">
        <w:rPr>
          <w:b/>
          <w:bCs/>
          <w:sz w:val="36"/>
          <w:szCs w:val="36"/>
        </w:rPr>
        <w:t xml:space="preserve"> </w:t>
      </w:r>
    </w:p>
    <w:p w14:paraId="3B5B92C5" w14:textId="77777777" w:rsidR="005A6DC7" w:rsidRPr="00515433" w:rsidRDefault="005A6DC7" w:rsidP="00EA20FC">
      <w:pPr>
        <w:jc w:val="both"/>
      </w:pPr>
    </w:p>
    <w:p w14:paraId="376DF8EA" w14:textId="09330410" w:rsidR="00A145C7" w:rsidRDefault="005A6DC7" w:rsidP="00EA20FC">
      <w:pPr>
        <w:jc w:val="both"/>
      </w:pPr>
      <w:r w:rsidRPr="005A6DC7">
        <w:t xml:space="preserve">Texte </w:t>
      </w:r>
      <w:r w:rsidR="00A145C7">
        <w:t>visé par les propositions d’amendements</w:t>
      </w:r>
      <w:r w:rsidRPr="005A6DC7">
        <w:t xml:space="preserve"> : </w:t>
      </w:r>
      <w:hyperlink r:id="rId11" w:anchor="D_Article_4_bis" w:history="1">
        <w:r w:rsidRPr="00807D99">
          <w:rPr>
            <w:rStyle w:val="Lienhypertexte"/>
          </w:rPr>
          <w:t>Projet de loi, adopté par le Sénat, après engagement de la procédure accélérée, de simplification de la vie économique, n° 481 rectifié, déposé le mercredi 23 octobre 2024</w:t>
        </w:r>
      </w:hyperlink>
      <w:r w:rsidRPr="005A6DC7">
        <w:t>.</w:t>
      </w:r>
    </w:p>
    <w:p w14:paraId="0AFBD0B0" w14:textId="77777777" w:rsidR="00BE4137" w:rsidRDefault="00BE4137" w:rsidP="00EA20FC">
      <w:pPr>
        <w:jc w:val="both"/>
      </w:pPr>
    </w:p>
    <w:p w14:paraId="144937F8" w14:textId="2FCFBF29" w:rsidR="00875906" w:rsidRDefault="00875906" w:rsidP="00875906">
      <w:pPr>
        <w:jc w:val="center"/>
        <w:rPr>
          <w:b/>
          <w:bCs/>
          <w:sz w:val="28"/>
          <w:szCs w:val="28"/>
        </w:rPr>
      </w:pPr>
      <w:r w:rsidRPr="00875906">
        <w:rPr>
          <w:b/>
          <w:bCs/>
          <w:sz w:val="28"/>
          <w:szCs w:val="28"/>
          <w:u w:val="single"/>
        </w:rPr>
        <w:t>Proposition d’amendement n°1</w:t>
      </w:r>
      <w:r w:rsidRPr="00875906">
        <w:rPr>
          <w:b/>
          <w:bCs/>
          <w:sz w:val="28"/>
          <w:szCs w:val="28"/>
        </w:rPr>
        <w:t> : étendre à tous les acheteurs publics l’obligation d’utilisation de la plateforme publique PLACE pour leurs annonces de marchés publics</w:t>
      </w:r>
    </w:p>
    <w:p w14:paraId="05E62BD4" w14:textId="77777777" w:rsidR="00875906" w:rsidRPr="00875906" w:rsidRDefault="00875906" w:rsidP="00875906">
      <w:pPr>
        <w:jc w:val="center"/>
        <w:rPr>
          <w:b/>
          <w:bCs/>
          <w:sz w:val="28"/>
          <w:szCs w:val="28"/>
        </w:rPr>
      </w:pPr>
    </w:p>
    <w:p w14:paraId="111380E1" w14:textId="155B2143" w:rsidR="00EA20FC" w:rsidRPr="00EA20FC" w:rsidRDefault="005A6DC7" w:rsidP="00EA20FC">
      <w:pPr>
        <w:jc w:val="center"/>
        <w:rPr>
          <w:b/>
          <w:bCs/>
          <w:i/>
          <w:iCs/>
        </w:rPr>
      </w:pPr>
      <w:r w:rsidRPr="005A6DC7">
        <w:rPr>
          <w:b/>
          <w:bCs/>
          <w:i/>
          <w:iCs/>
        </w:rPr>
        <w:t>ARTICLE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EA20FC" w14:paraId="06EF5245" w14:textId="77777777">
        <w:tc>
          <w:tcPr>
            <w:tcW w:w="9546" w:type="dxa"/>
            <w:shd w:val="clear" w:color="auto" w:fill="auto"/>
          </w:tcPr>
          <w:p w14:paraId="045611D8" w14:textId="1F51111E" w:rsidR="00E7601E" w:rsidRDefault="00BF5882">
            <w:pPr>
              <w:spacing w:after="0" w:line="240" w:lineRule="auto"/>
            </w:pPr>
            <w:r>
              <w:t xml:space="preserve">I. </w:t>
            </w:r>
            <w:r w:rsidR="008870E2">
              <w:softHyphen/>
              <w:t>–</w:t>
            </w:r>
            <w:r w:rsidR="00190BEC">
              <w:t xml:space="preserve"> </w:t>
            </w:r>
            <w:r w:rsidR="00E7601E">
              <w:t>Alinéa 3 </w:t>
            </w:r>
          </w:p>
          <w:p w14:paraId="0FF2D096" w14:textId="5EF8A81C" w:rsidR="00EA20FC" w:rsidRDefault="00EA20FC">
            <w:pPr>
              <w:spacing w:after="0" w:line="240" w:lineRule="auto"/>
            </w:pPr>
            <w:r>
              <w:t xml:space="preserve">Après les mots : </w:t>
            </w:r>
          </w:p>
          <w:p w14:paraId="7138C3CF" w14:textId="31F81B4B" w:rsidR="00EA20FC" w:rsidRDefault="008376CA">
            <w:pPr>
              <w:spacing w:after="0" w:line="240" w:lineRule="auto"/>
            </w:pPr>
            <w:r>
              <w:t>« </w:t>
            </w:r>
            <w:r w:rsidR="00EA20FC">
              <w:t>Les personnes morales de droit public</w:t>
            </w:r>
            <w:r>
              <w:t> »</w:t>
            </w:r>
          </w:p>
          <w:p w14:paraId="7B7FC91A" w14:textId="77777777" w:rsidR="00EA20FC" w:rsidRDefault="00EA20FC">
            <w:pPr>
              <w:spacing w:after="0" w:line="240" w:lineRule="auto"/>
            </w:pPr>
            <w:r>
              <w:t>Supprimer les mots : « à l’exception des collectivités territoriales, de leurs établissements publics et de leurs groupements, et les organismes de sécurité sociale ».</w:t>
            </w:r>
          </w:p>
          <w:p w14:paraId="37CA166F" w14:textId="77777777" w:rsidR="008870E2" w:rsidRDefault="008870E2">
            <w:pPr>
              <w:spacing w:after="0" w:line="240" w:lineRule="auto"/>
            </w:pPr>
          </w:p>
          <w:p w14:paraId="2D0853DE" w14:textId="7B57BB52" w:rsidR="008870E2" w:rsidRDefault="008870E2">
            <w:pPr>
              <w:spacing w:after="0" w:line="240" w:lineRule="auto"/>
            </w:pPr>
            <w:r>
              <w:t xml:space="preserve">II. – Alinéa 4 </w:t>
            </w:r>
          </w:p>
          <w:p w14:paraId="4715CAA7" w14:textId="77777777" w:rsidR="008870E2" w:rsidRDefault="008870E2">
            <w:pPr>
              <w:spacing w:after="0" w:line="240" w:lineRule="auto"/>
            </w:pPr>
            <w:r>
              <w:t>Supprimer l’alinéa.</w:t>
            </w:r>
          </w:p>
          <w:p w14:paraId="33A263ED" w14:textId="77777777" w:rsidR="008870E2" w:rsidRDefault="008870E2">
            <w:pPr>
              <w:spacing w:after="0" w:line="240" w:lineRule="auto"/>
            </w:pPr>
          </w:p>
          <w:p w14:paraId="0668B3EF" w14:textId="5C96ECD6" w:rsidR="008870E2" w:rsidRDefault="008870E2">
            <w:pPr>
              <w:spacing w:after="0" w:line="240" w:lineRule="auto"/>
            </w:pPr>
            <w:r>
              <w:t xml:space="preserve">III. – Alinéa 12 </w:t>
            </w:r>
          </w:p>
          <w:p w14:paraId="79CB9E7A" w14:textId="77777777" w:rsidR="008870E2" w:rsidRDefault="008870E2">
            <w:pPr>
              <w:spacing w:after="0" w:line="240" w:lineRule="auto"/>
            </w:pPr>
            <w:r>
              <w:t xml:space="preserve">Remplacer le mot : </w:t>
            </w:r>
          </w:p>
          <w:p w14:paraId="138BB98A" w14:textId="77777777" w:rsidR="008870E2" w:rsidRDefault="008870E2">
            <w:pPr>
              <w:spacing w:after="0" w:line="240" w:lineRule="auto"/>
            </w:pPr>
            <w:r>
              <w:t>« trois »</w:t>
            </w:r>
          </w:p>
          <w:p w14:paraId="7259A97D" w14:textId="77777777" w:rsidR="008870E2" w:rsidRDefault="008870E2">
            <w:pPr>
              <w:spacing w:after="0" w:line="240" w:lineRule="auto"/>
            </w:pPr>
            <w:r>
              <w:t xml:space="preserve">Par le mot : </w:t>
            </w:r>
          </w:p>
          <w:p w14:paraId="0DA40CF4" w14:textId="0A9C0CA5" w:rsidR="008870E2" w:rsidRDefault="008870E2">
            <w:pPr>
              <w:spacing w:after="0" w:line="240" w:lineRule="auto"/>
            </w:pPr>
            <w:r>
              <w:t>« deux »</w:t>
            </w:r>
            <w:r w:rsidR="000B5D63">
              <w:t xml:space="preserve">. </w:t>
            </w:r>
          </w:p>
          <w:p w14:paraId="02C5872F" w14:textId="77777777" w:rsidR="000B5D63" w:rsidRDefault="000B5D63">
            <w:pPr>
              <w:spacing w:after="0" w:line="240" w:lineRule="auto"/>
            </w:pPr>
          </w:p>
          <w:p w14:paraId="69919925" w14:textId="776F3E45" w:rsidR="000B5D63" w:rsidRDefault="000B5D63">
            <w:pPr>
              <w:spacing w:after="0" w:line="240" w:lineRule="auto"/>
            </w:pPr>
            <w:r>
              <w:t xml:space="preserve">IV. – Alinéa 13  </w:t>
            </w:r>
          </w:p>
          <w:p w14:paraId="11AD1C9A" w14:textId="77777777" w:rsidR="000B5D63" w:rsidRDefault="000B5D63">
            <w:pPr>
              <w:spacing w:after="0" w:line="240" w:lineRule="auto"/>
            </w:pPr>
            <w:r>
              <w:t xml:space="preserve">Après les mots </w:t>
            </w:r>
          </w:p>
          <w:p w14:paraId="392EF299" w14:textId="77777777" w:rsidR="000B5D63" w:rsidRDefault="000B5D63">
            <w:pPr>
              <w:spacing w:after="0" w:line="240" w:lineRule="auto"/>
            </w:pPr>
            <w:r>
              <w:t>« Les personnes morales de droit public »</w:t>
            </w:r>
          </w:p>
          <w:p w14:paraId="7F4D7DE0" w14:textId="77777777" w:rsidR="000B5D63" w:rsidRDefault="000B5D63">
            <w:pPr>
              <w:spacing w:after="0" w:line="240" w:lineRule="auto"/>
            </w:pPr>
            <w:r>
              <w:t xml:space="preserve">Supprimer les mots : « à l’exception des collectivités territoriales, de leurs établissements publics et de leurs groupements, et les organismes de sécurité sociale ». </w:t>
            </w:r>
          </w:p>
          <w:p w14:paraId="5129AC22" w14:textId="77777777" w:rsidR="000B5D63" w:rsidRDefault="000B5D63">
            <w:pPr>
              <w:spacing w:after="0" w:line="240" w:lineRule="auto"/>
            </w:pPr>
          </w:p>
          <w:p w14:paraId="45EFE577" w14:textId="27DA6D68" w:rsidR="000B5D63" w:rsidRDefault="000B5D63">
            <w:pPr>
              <w:spacing w:after="0" w:line="240" w:lineRule="auto"/>
            </w:pPr>
            <w:r>
              <w:t xml:space="preserve">V. – Alinéa 14 </w:t>
            </w:r>
          </w:p>
          <w:p w14:paraId="7F45E711" w14:textId="77777777" w:rsidR="000B5D63" w:rsidRDefault="000B5D63">
            <w:pPr>
              <w:spacing w:after="0" w:line="240" w:lineRule="auto"/>
            </w:pPr>
            <w:r>
              <w:lastRenderedPageBreak/>
              <w:t xml:space="preserve">Supprimer l’alinéa. </w:t>
            </w:r>
          </w:p>
          <w:p w14:paraId="21BA0D31" w14:textId="77777777" w:rsidR="00411853" w:rsidRDefault="00411853">
            <w:pPr>
              <w:spacing w:after="0" w:line="240" w:lineRule="auto"/>
            </w:pPr>
          </w:p>
          <w:p w14:paraId="06E641E3" w14:textId="2C0C238C" w:rsidR="00A8523F" w:rsidRDefault="00411853">
            <w:pPr>
              <w:spacing w:after="0" w:line="240" w:lineRule="auto"/>
            </w:pPr>
            <w:r>
              <w:t>VI. –</w:t>
            </w:r>
            <w:r w:rsidR="005B540F">
              <w:t xml:space="preserve"> </w:t>
            </w:r>
            <w:r w:rsidR="00B1494C">
              <w:t>A la fin de l’article 4, ajouter l’alinéa suivant :</w:t>
            </w:r>
          </w:p>
          <w:p w14:paraId="33EF85DE" w14:textId="4E977305" w:rsidR="00411853" w:rsidRDefault="00B1494C">
            <w:pPr>
              <w:spacing w:after="0" w:line="240" w:lineRule="auto"/>
            </w:pPr>
            <w:r>
              <w:t>« </w:t>
            </w:r>
            <w:r w:rsidR="000815F6" w:rsidRPr="000815F6">
              <w:t xml:space="preserve"> - L</w:t>
            </w:r>
            <w:r w:rsidR="009B6439">
              <w:t xml:space="preserve">’augmentation de charges </w:t>
            </w:r>
            <w:r w:rsidR="000815F6" w:rsidRPr="000815F6">
              <w:t>résultant pour l’État du présent article est compensée, à due concurrence, par la création d’une taxe additionnelle à l’accise sur les tabacs prévue au chapitre IV du titre Ier du livre III du code des impositions sur les biens et services.</w:t>
            </w:r>
            <w:r>
              <w:t> »</w:t>
            </w:r>
          </w:p>
        </w:tc>
      </w:tr>
    </w:tbl>
    <w:p w14:paraId="2105C143" w14:textId="77777777" w:rsidR="004F5AF1" w:rsidRDefault="004F5AF1" w:rsidP="005A6DC7"/>
    <w:p w14:paraId="6A9E457E" w14:textId="77777777" w:rsidR="00C35F5D" w:rsidRPr="005A6DC7" w:rsidRDefault="00C35F5D" w:rsidP="005A6DC7"/>
    <w:p w14:paraId="44C9729F" w14:textId="259F4EFB" w:rsidR="0021348B" w:rsidRDefault="00EA20FC" w:rsidP="0021348B">
      <w:pPr>
        <w:jc w:val="center"/>
        <w:rPr>
          <w:b/>
          <w:bCs/>
        </w:rPr>
      </w:pPr>
      <w:r w:rsidRPr="00EA20FC">
        <w:rPr>
          <w:b/>
          <w:bCs/>
        </w:rPr>
        <w:t>EXPOSÉ SOMMAIRE</w:t>
      </w:r>
    </w:p>
    <w:p w14:paraId="73B3D88B" w14:textId="1B51CE82" w:rsidR="005A4D43" w:rsidRDefault="005A4D43" w:rsidP="00BE4137">
      <w:pPr>
        <w:jc w:val="both"/>
      </w:pPr>
      <w:r>
        <w:t xml:space="preserve">Cet amendement a été suggéré par </w:t>
      </w:r>
      <w:proofErr w:type="spellStart"/>
      <w:r>
        <w:t>Transp</w:t>
      </w:r>
      <w:r w:rsidR="006175A4">
        <w:t>a</w:t>
      </w:r>
      <w:r>
        <w:t>rency</w:t>
      </w:r>
      <w:proofErr w:type="spellEnd"/>
      <w:r>
        <w:t xml:space="preserve"> International France.</w:t>
      </w:r>
    </w:p>
    <w:p w14:paraId="7059B99C" w14:textId="346AFB99" w:rsidR="00C35F5D" w:rsidRDefault="00027699" w:rsidP="00BE4137">
      <w:pPr>
        <w:jc w:val="both"/>
      </w:pPr>
      <w:r>
        <w:t>Il</w:t>
      </w:r>
      <w:r w:rsidR="00C35F5D">
        <w:t xml:space="preserve"> vise à étendre à tous les acheteurs publics l’obligation d’utilisation d’ici 2028 du logiciel PLACE pour publier leurs offres de marchés publics, y-compris aux collectivités territoriales et aux organismes de la sécurité sociale.  </w:t>
      </w:r>
    </w:p>
    <w:p w14:paraId="456B167E" w14:textId="53CD2779" w:rsidR="00C35F5D" w:rsidRDefault="00C35F5D" w:rsidP="00BE4137">
      <w:pPr>
        <w:jc w:val="both"/>
      </w:pPr>
      <w:r>
        <w:t>Dans sa version actuelle, cet article prévoit en effet que cette nouvelle obligation s’applique uniquement aux acheteurs publics de l’Etat. Un usage commun de PLACE par tous les acheteurs publics constituerait pourtant une avancée majeure en matière de transparence de la commande publique, et faciliterait la lutte contre la corruption.</w:t>
      </w:r>
    </w:p>
    <w:p w14:paraId="50F636B0" w14:textId="18C6652F" w:rsidR="00E57F3C" w:rsidRDefault="00A553F5" w:rsidP="00BE4137">
      <w:pPr>
        <w:jc w:val="both"/>
      </w:pPr>
      <w:r>
        <w:t>A</w:t>
      </w:r>
      <w:r w:rsidR="004D4858">
        <w:t xml:space="preserve">ujourd’hui </w:t>
      </w:r>
      <w:r w:rsidR="00EA20FC" w:rsidRPr="004D4858">
        <w:t>en France, quelques</w:t>
      </w:r>
      <w:r w:rsidR="00EA20FC" w:rsidRPr="00EA20FC">
        <w:t xml:space="preserve"> 130 000 acheteurs </w:t>
      </w:r>
      <w:r w:rsidR="00EA20FC" w:rsidRPr="004D4858">
        <w:t xml:space="preserve">publics </w:t>
      </w:r>
      <w:r w:rsidR="00EA20FC" w:rsidRPr="00EA20FC">
        <w:t>ont recours au logiciel de leur choix</w:t>
      </w:r>
      <w:r w:rsidR="004D4858">
        <w:t xml:space="preserve"> pour publier des offres </w:t>
      </w:r>
      <w:r w:rsidR="007C2541">
        <w:t xml:space="preserve">de marchés publics </w:t>
      </w:r>
      <w:r w:rsidR="004D4858">
        <w:t xml:space="preserve">et recueillir </w:t>
      </w:r>
      <w:r w:rsidR="00D304FE">
        <w:t>des</w:t>
      </w:r>
      <w:r w:rsidR="004D4858">
        <w:t xml:space="preserve"> candidatures</w:t>
      </w:r>
      <w:r w:rsidR="004D4858" w:rsidRPr="004D4858">
        <w:t>.</w:t>
      </w:r>
      <w:r w:rsidR="005D4881">
        <w:t xml:space="preserve"> </w:t>
      </w:r>
      <w:r w:rsidR="00D02A45">
        <w:t>Cette</w:t>
      </w:r>
      <w:r w:rsidR="00C34677">
        <w:t xml:space="preserve"> disparité des logiciels </w:t>
      </w:r>
      <w:r w:rsidR="003F17BA">
        <w:t xml:space="preserve">utilisés </w:t>
      </w:r>
      <w:r w:rsidR="00705B12">
        <w:t>diminue la</w:t>
      </w:r>
      <w:r w:rsidR="00BB4FBB">
        <w:t xml:space="preserve"> lisibilité des </w:t>
      </w:r>
      <w:r w:rsidR="00E57F3C">
        <w:t>offres existantes sur l’ensemble du territoire</w:t>
      </w:r>
      <w:r w:rsidR="00652EF6">
        <w:t xml:space="preserve">. </w:t>
      </w:r>
    </w:p>
    <w:p w14:paraId="1D8FF9DF" w14:textId="0792C14F" w:rsidR="00E57F3C" w:rsidRDefault="00632DD7" w:rsidP="00BE4137">
      <w:pPr>
        <w:jc w:val="both"/>
      </w:pPr>
      <w:r>
        <w:t>Plus encore, alors</w:t>
      </w:r>
      <w:r w:rsidR="00E57F3C">
        <w:t xml:space="preserve"> que les données essentielles de la commande publique</w:t>
      </w:r>
      <w:r w:rsidR="007C2541">
        <w:t xml:space="preserve"> </w:t>
      </w:r>
      <w:r w:rsidR="00E57F3C">
        <w:t xml:space="preserve">doivent </w:t>
      </w:r>
      <w:r w:rsidR="00E57F3C" w:rsidRPr="00EA20FC">
        <w:t xml:space="preserve">obligatoirement </w:t>
      </w:r>
      <w:r w:rsidR="00E57F3C">
        <w:t xml:space="preserve">être publiées </w:t>
      </w:r>
      <w:r w:rsidR="00E57F3C" w:rsidRPr="00EA20FC">
        <w:t>en open data après la conclusion d'un marché</w:t>
      </w:r>
      <w:r w:rsidR="00E57F3C">
        <w:t>,</w:t>
      </w:r>
      <w:r w:rsidR="00E57F3C" w:rsidRPr="004D4858">
        <w:t xml:space="preserve"> </w:t>
      </w:r>
      <w:r w:rsidR="004D4858" w:rsidRPr="004D4858">
        <w:t xml:space="preserve">le recours à une multitude de logiciels </w:t>
      </w:r>
      <w:r w:rsidR="00E57F3C">
        <w:t xml:space="preserve">entraîne leur publication </w:t>
      </w:r>
      <w:r w:rsidR="00EA20FC" w:rsidRPr="00EA20FC">
        <w:t>dans des formats différents selon le logiciel</w:t>
      </w:r>
      <w:r w:rsidR="00261409">
        <w:t>.</w:t>
      </w:r>
      <w:r w:rsidR="00DE5ED0">
        <w:t xml:space="preserve"> Ces</w:t>
      </w:r>
      <w:r w:rsidR="00261409">
        <w:t xml:space="preserve"> </w:t>
      </w:r>
      <w:r w:rsidR="007A5949">
        <w:t xml:space="preserve">données </w:t>
      </w:r>
      <w:r w:rsidR="00DE5ED0">
        <w:t>sont dès lors</w:t>
      </w:r>
      <w:r w:rsidR="001F62CB">
        <w:t xml:space="preserve"> </w:t>
      </w:r>
      <w:r w:rsidR="00E57F3C">
        <w:t>plus difficilement exploitables</w:t>
      </w:r>
      <w:r w:rsidR="00EA20FC" w:rsidRPr="00EA20FC">
        <w:t xml:space="preserve"> pour détecter</w:t>
      </w:r>
      <w:r w:rsidR="008147DD">
        <w:t xml:space="preserve"> les atteintes à la probité</w:t>
      </w:r>
      <w:r w:rsidR="00935ECB">
        <w:t xml:space="preserve">, notamment </w:t>
      </w:r>
      <w:r>
        <w:t xml:space="preserve">la corruption de basse intensité au sein des collectivités. </w:t>
      </w:r>
    </w:p>
    <w:p w14:paraId="168F70DF" w14:textId="7EB94C70" w:rsidR="00D603B2" w:rsidRDefault="00D603B2" w:rsidP="00BE4137">
      <w:pPr>
        <w:jc w:val="both"/>
      </w:pPr>
      <w:r>
        <w:t xml:space="preserve">Comme le note le </w:t>
      </w:r>
      <w:hyperlink r:id="rId12" w:anchor="toc36" w:history="1">
        <w:r w:rsidRPr="0051748E">
          <w:rPr>
            <w:rStyle w:val="Lienhypertexte"/>
          </w:rPr>
          <w:t>rapport de la commission spéciale</w:t>
        </w:r>
        <w:r w:rsidR="007C2541">
          <w:rPr>
            <w:rStyle w:val="Lienhypertexte"/>
          </w:rPr>
          <w:t xml:space="preserve"> du Sénat</w:t>
        </w:r>
        <w:r w:rsidR="00C76214" w:rsidRPr="0051748E">
          <w:rPr>
            <w:rStyle w:val="Lienhypertexte"/>
          </w:rPr>
          <w:t xml:space="preserve"> </w:t>
        </w:r>
        <w:r w:rsidR="00E76DE5" w:rsidRPr="0051748E">
          <w:rPr>
            <w:rStyle w:val="Lienhypertexte"/>
          </w:rPr>
          <w:t>relatif au projet de loi</w:t>
        </w:r>
      </w:hyperlink>
      <w:r w:rsidR="00E76DE5">
        <w:t xml:space="preserve">, </w:t>
      </w:r>
      <w:r w:rsidR="00CB15B8">
        <w:t>étendre l’usage obligatoire du logiciel PLACE</w:t>
      </w:r>
      <w:r w:rsidR="007F54A3">
        <w:t xml:space="preserve"> </w:t>
      </w:r>
      <w:r w:rsidR="00CB15B8">
        <w:t>aux</w:t>
      </w:r>
      <w:r w:rsidR="00E76DE5">
        <w:t xml:space="preserve"> collectivités territoriales </w:t>
      </w:r>
      <w:r w:rsidR="007F54A3">
        <w:t xml:space="preserve">ferait </w:t>
      </w:r>
      <w:r w:rsidR="00E76DE5">
        <w:t>passer le volume</w:t>
      </w:r>
      <w:r w:rsidR="00683DAC">
        <w:t xml:space="preserve"> des marchés publics concernés </w:t>
      </w:r>
      <w:r w:rsidR="00134528">
        <w:t xml:space="preserve">de </w:t>
      </w:r>
      <w:r w:rsidR="00E523D6">
        <w:t>7,5</w:t>
      </w:r>
      <w:r w:rsidR="00134528">
        <w:t xml:space="preserve">% </w:t>
      </w:r>
      <w:r w:rsidR="00140415">
        <w:t xml:space="preserve">à 85%, contre seulement </w:t>
      </w:r>
      <w:r w:rsidR="00E523D6">
        <w:t>17</w:t>
      </w:r>
      <w:r w:rsidR="00140415">
        <w:t xml:space="preserve">% </w:t>
      </w:r>
      <w:r w:rsidR="00E523D6">
        <w:t>si l’utilisation obligatoire du logiciel ne concernait que les services de l’Etat</w:t>
      </w:r>
      <w:r w:rsidR="00140415">
        <w:t xml:space="preserve">. </w:t>
      </w:r>
      <w:r w:rsidR="00330C51">
        <w:t>L</w:t>
      </w:r>
      <w:r w:rsidR="00140415">
        <w:t xml:space="preserve">’exclusion des collectivités territoriales </w:t>
      </w:r>
      <w:r w:rsidR="00330C51">
        <w:t xml:space="preserve">du dispositif </w:t>
      </w:r>
      <w:r w:rsidR="00D8308F">
        <w:t xml:space="preserve">vide donc </w:t>
      </w:r>
      <w:r w:rsidR="000147FD">
        <w:t>celui-ci</w:t>
      </w:r>
      <w:r w:rsidR="00D8308F">
        <w:t xml:space="preserve"> </w:t>
      </w:r>
      <w:r w:rsidR="000147FD">
        <w:t>d’une</w:t>
      </w:r>
      <w:r w:rsidR="00D8308F">
        <w:t xml:space="preserve"> part </w:t>
      </w:r>
      <w:r w:rsidR="00FA1918">
        <w:t>essentielle</w:t>
      </w:r>
      <w:r w:rsidR="00D8308F">
        <w:t xml:space="preserve"> de sa portée. </w:t>
      </w:r>
    </w:p>
    <w:p w14:paraId="5AF64CE6" w14:textId="25B65874" w:rsidR="00F57A23" w:rsidRDefault="001A2625" w:rsidP="00BE4137">
      <w:pPr>
        <w:jc w:val="both"/>
      </w:pPr>
      <w:r>
        <w:t>Au demeurant, le recours au logiciel PLACE</w:t>
      </w:r>
      <w:r w:rsidR="0030780F">
        <w:t xml:space="preserve"> – </w:t>
      </w:r>
      <w:r>
        <w:t xml:space="preserve">mis à disposition </w:t>
      </w:r>
      <w:r w:rsidR="005343B5">
        <w:t xml:space="preserve">gratuitement </w:t>
      </w:r>
      <w:r>
        <w:t>par l’Etat</w:t>
      </w:r>
      <w:r w:rsidR="0030780F">
        <w:t xml:space="preserve"> – </w:t>
      </w:r>
      <w:r>
        <w:t xml:space="preserve">plutôt qu’à des </w:t>
      </w:r>
      <w:r w:rsidR="005208D9">
        <w:t xml:space="preserve">éditeurs de logiciels </w:t>
      </w:r>
      <w:r w:rsidR="00F57A23">
        <w:t xml:space="preserve">privés engendrerait des économies </w:t>
      </w:r>
      <w:r w:rsidR="00C84F13">
        <w:t>non</w:t>
      </w:r>
      <w:r w:rsidR="003805C1">
        <w:t xml:space="preserve"> </w:t>
      </w:r>
      <w:r w:rsidR="00C84F13">
        <w:t xml:space="preserve">négligeables pour les collectivités territoriales. </w:t>
      </w:r>
      <w:r w:rsidR="007D1435">
        <w:t xml:space="preserve">Le logiciel étant déjà fonctionnel, </w:t>
      </w:r>
      <w:r w:rsidR="000E0DBF">
        <w:t xml:space="preserve">les coûts pour l’Etat </w:t>
      </w:r>
      <w:r w:rsidR="000E0DBF">
        <w:lastRenderedPageBreak/>
        <w:t>relèveraient de</w:t>
      </w:r>
      <w:r w:rsidR="001D09FA">
        <w:t xml:space="preserve"> </w:t>
      </w:r>
      <w:r w:rsidR="000E0DBF">
        <w:t>charges de gestion</w:t>
      </w:r>
      <w:r w:rsidR="00CF51CA">
        <w:t xml:space="preserve"> </w:t>
      </w:r>
      <w:r w:rsidR="000E0DBF">
        <w:t>minimes et ponctuelles</w:t>
      </w:r>
      <w:r w:rsidR="001D09FA">
        <w:t xml:space="preserve">, </w:t>
      </w:r>
      <w:r w:rsidR="00F6345A">
        <w:t>afin d’</w:t>
      </w:r>
      <w:r w:rsidR="001D09FA">
        <w:t>adapter la plate-forme à son usage par les collectivités</w:t>
      </w:r>
      <w:r w:rsidR="000E0DBF">
        <w:t xml:space="preserve">. </w:t>
      </w:r>
    </w:p>
    <w:p w14:paraId="36CAC2C0" w14:textId="6ECCECB9" w:rsidR="00875906" w:rsidRDefault="00875906" w:rsidP="00875906">
      <w:pPr>
        <w:jc w:val="center"/>
        <w:rPr>
          <w:b/>
          <w:bCs/>
          <w:sz w:val="28"/>
          <w:szCs w:val="28"/>
        </w:rPr>
      </w:pPr>
      <w:r w:rsidRPr="00875906">
        <w:rPr>
          <w:b/>
          <w:bCs/>
          <w:sz w:val="28"/>
          <w:szCs w:val="28"/>
          <w:u w:val="single"/>
        </w:rPr>
        <w:t>Proposition d’amendement n°</w:t>
      </w:r>
      <w:r>
        <w:rPr>
          <w:b/>
          <w:bCs/>
          <w:sz w:val="28"/>
          <w:szCs w:val="28"/>
          <w:u w:val="single"/>
        </w:rPr>
        <w:t>2</w:t>
      </w:r>
      <w:r w:rsidRPr="00875906">
        <w:rPr>
          <w:b/>
          <w:bCs/>
          <w:sz w:val="28"/>
          <w:szCs w:val="28"/>
        </w:rPr>
        <w:t xml:space="preserve"> : </w:t>
      </w:r>
      <w:r>
        <w:rPr>
          <w:b/>
          <w:bCs/>
          <w:sz w:val="28"/>
          <w:szCs w:val="28"/>
        </w:rPr>
        <w:t>supprimer la pérennisation du seuil temporaire de publicité préalable à 100 000 euros pour les marchés publics de travaux</w:t>
      </w:r>
    </w:p>
    <w:p w14:paraId="0403972A" w14:textId="77777777" w:rsidR="007C2541" w:rsidRDefault="007C2541" w:rsidP="00EA20FC">
      <w:pPr>
        <w:jc w:val="both"/>
      </w:pPr>
    </w:p>
    <w:p w14:paraId="2BE22885" w14:textId="77777777" w:rsidR="0012057F" w:rsidRDefault="00903CA1" w:rsidP="0012057F">
      <w:pPr>
        <w:jc w:val="center"/>
        <w:rPr>
          <w:b/>
          <w:bCs/>
          <w:i/>
          <w:iCs/>
        </w:rPr>
      </w:pPr>
      <w:r w:rsidRPr="00903CA1">
        <w:rPr>
          <w:b/>
          <w:bCs/>
          <w:i/>
          <w:iCs/>
        </w:rPr>
        <w:t>ARTICLE 4 BIS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6"/>
      </w:tblGrid>
      <w:tr w:rsidR="0012057F" w14:paraId="5CF82D6F" w14:textId="77777777">
        <w:tc>
          <w:tcPr>
            <w:tcW w:w="9546" w:type="dxa"/>
            <w:shd w:val="clear" w:color="auto" w:fill="auto"/>
          </w:tcPr>
          <w:p w14:paraId="3080EC5B" w14:textId="21B742B6" w:rsidR="0012057F" w:rsidRDefault="0012057F" w:rsidP="0012057F">
            <w:pPr>
              <w:rPr>
                <w:i/>
                <w:iCs/>
              </w:rPr>
            </w:pPr>
            <w:r w:rsidRPr="00A10A8E">
              <w:t xml:space="preserve">Supprimer cet article. </w:t>
            </w:r>
          </w:p>
        </w:tc>
      </w:tr>
    </w:tbl>
    <w:p w14:paraId="1312E0C9" w14:textId="77777777" w:rsidR="00A10A8E" w:rsidRDefault="00A10A8E" w:rsidP="00A10A8E"/>
    <w:p w14:paraId="6914779D" w14:textId="1F2B91A6" w:rsidR="0021348B" w:rsidRDefault="0021348B" w:rsidP="0021348B">
      <w:pPr>
        <w:jc w:val="center"/>
        <w:rPr>
          <w:b/>
          <w:bCs/>
        </w:rPr>
      </w:pPr>
      <w:r w:rsidRPr="00EA20FC">
        <w:rPr>
          <w:b/>
          <w:bCs/>
        </w:rPr>
        <w:t>EXPOSÉ SOMMAIRE</w:t>
      </w:r>
    </w:p>
    <w:p w14:paraId="71A6E6B6" w14:textId="450BD1D3" w:rsidR="005A4D43" w:rsidRDefault="005A4D43" w:rsidP="00875906">
      <w:pPr>
        <w:jc w:val="both"/>
      </w:pPr>
      <w:r>
        <w:t xml:space="preserve">Cet amendement a été suggéré par </w:t>
      </w:r>
      <w:proofErr w:type="spellStart"/>
      <w:r>
        <w:t>Transparency</w:t>
      </w:r>
      <w:proofErr w:type="spellEnd"/>
      <w:r>
        <w:t xml:space="preserve"> International France.</w:t>
      </w:r>
    </w:p>
    <w:p w14:paraId="0435AAE5" w14:textId="5643CE42" w:rsidR="007C2541" w:rsidRDefault="00027699" w:rsidP="00875906">
      <w:pPr>
        <w:jc w:val="both"/>
      </w:pPr>
      <w:r>
        <w:t>Il</w:t>
      </w:r>
      <w:r w:rsidR="007C2541">
        <w:t xml:space="preserve"> vise à supprimer la pérennisation de la hausse temporaire</w:t>
      </w:r>
      <w:r w:rsidR="003E2543">
        <w:t xml:space="preserve"> à 100 000</w:t>
      </w:r>
      <w:r w:rsidR="007C2541">
        <w:t xml:space="preserve"> du seuil à partir duquel un marché public de travaux doit obligatoirement faire l’objet d’une publicité préalable avant son attribution. Ce </w:t>
      </w:r>
      <w:r w:rsidR="003E2543">
        <w:t>seuil s’élevait à 40 000 euros jusqu’en 2020</w:t>
      </w:r>
      <w:r w:rsidR="007C2541">
        <w:t xml:space="preserve">, </w:t>
      </w:r>
      <w:r w:rsidR="003E2543">
        <w:t xml:space="preserve">avant d’être </w:t>
      </w:r>
      <w:r w:rsidR="007C2541">
        <w:t xml:space="preserve">élevé par la </w:t>
      </w:r>
      <w:r w:rsidR="007C2541" w:rsidRPr="00392AA9">
        <w:t xml:space="preserve">loi n° 2020-1525 du 7 décembre 2020 (loi ASAP) </w:t>
      </w:r>
      <w:r w:rsidR="007C2541">
        <w:t>pour répondre aux conséquences économiques exceptionnelles de la crise sanitaire</w:t>
      </w:r>
      <w:r w:rsidR="003E2543">
        <w:t>. Cette hausse temporaire</w:t>
      </w:r>
      <w:r w:rsidR="007C2541">
        <w:t xml:space="preserve"> devait s’arrêter à la fin de l’année 2022, et </w:t>
      </w:r>
      <w:r w:rsidR="003E2543">
        <w:t xml:space="preserve">elle a été prorogée jusqu’à la fin de l’année 2024 par le décret </w:t>
      </w:r>
      <w:r w:rsidR="003E2543" w:rsidRPr="003E2543">
        <w:t>n° 2022-1683 du 28 décembre 2022</w:t>
      </w:r>
      <w:r w:rsidR="007C2541">
        <w:t xml:space="preserve">. La version actuelle de l’article 4 bis du présent projet de loi prévoit de maintenir indéfiniment </w:t>
      </w:r>
      <w:r w:rsidR="003E2543">
        <w:t>ce seuil à 100 000 euros</w:t>
      </w:r>
      <w:r w:rsidR="007C2541">
        <w:t xml:space="preserve"> à partir du 1</w:t>
      </w:r>
      <w:r w:rsidR="007C2541" w:rsidRPr="007C2541">
        <w:rPr>
          <w:vertAlign w:val="superscript"/>
        </w:rPr>
        <w:t>er</w:t>
      </w:r>
      <w:r w:rsidR="007C2541">
        <w:t xml:space="preserve"> janvier 2025.</w:t>
      </w:r>
    </w:p>
    <w:p w14:paraId="4E320836" w14:textId="32154913" w:rsidR="003E2543" w:rsidRDefault="003E2543" w:rsidP="00875906">
      <w:pPr>
        <w:jc w:val="both"/>
      </w:pPr>
      <w:r>
        <w:t xml:space="preserve">Ce seuil de publicité préalable était fixé à 4 000 euros pour tous les types de marchés jusqu’en 2008. Depuis, il n’a eu de cesse d’être </w:t>
      </w:r>
      <w:proofErr w:type="spellStart"/>
      <w:r>
        <w:t>ré-haussé</w:t>
      </w:r>
      <w:proofErr w:type="spellEnd"/>
      <w:r>
        <w:t xml:space="preserve">, avec au moins </w:t>
      </w:r>
      <w:r w:rsidR="009B162F">
        <w:t>10</w:t>
      </w:r>
      <w:r>
        <w:t xml:space="preserve"> modifications en 16 ans. Ces modifications continuelles sont contraires à l’objectif de simplification de la vie économique défendu par le présent projet de loi.</w:t>
      </w:r>
    </w:p>
    <w:p w14:paraId="049743D8" w14:textId="22AF9879" w:rsidR="005D5B16" w:rsidRPr="00392AA9" w:rsidRDefault="005D5B16" w:rsidP="00875906">
      <w:pPr>
        <w:jc w:val="both"/>
      </w:pPr>
      <w:proofErr w:type="spellStart"/>
      <w:r w:rsidRPr="00392AA9">
        <w:t>Transparency</w:t>
      </w:r>
      <w:proofErr w:type="spellEnd"/>
      <w:r w:rsidRPr="00392AA9">
        <w:t xml:space="preserve"> International France </w:t>
      </w:r>
      <w:r w:rsidR="000921F5">
        <w:t>rappelle</w:t>
      </w:r>
      <w:r w:rsidRPr="00392AA9">
        <w:t xml:space="preserve"> que la publicité et la mise en concurrence préalable des marchés publics sont cruciales pour garantir une utilisation transparente et équitable des fonds publics, réduisant les risques de favoritisme et de corruption. En pérennisant un seuil </w:t>
      </w:r>
      <w:r w:rsidR="003E2543">
        <w:t>à 100 000 euros</w:t>
      </w:r>
      <w:r w:rsidRPr="00392AA9">
        <w:t xml:space="preserve">, l’article 4 bis réduit </w:t>
      </w:r>
      <w:r w:rsidR="00F25B1F">
        <w:t>non seulement la</w:t>
      </w:r>
      <w:r w:rsidRPr="00392AA9">
        <w:t xml:space="preserve"> transparence des processus de sélection des prestataires</w:t>
      </w:r>
      <w:r w:rsidR="00F25B1F">
        <w:t xml:space="preserve"> </w:t>
      </w:r>
      <w:r w:rsidR="00D269CE">
        <w:t xml:space="preserve">mais </w:t>
      </w:r>
      <w:r w:rsidR="00050EAF">
        <w:t>aussi</w:t>
      </w:r>
      <w:r w:rsidR="00D269CE">
        <w:t xml:space="preserve"> leur efficacité</w:t>
      </w:r>
      <w:r w:rsidR="00050EAF">
        <w:t xml:space="preserve"> économique,</w:t>
      </w:r>
      <w:r w:rsidR="00E95330">
        <w:t xml:space="preserve"> dès lors que</w:t>
      </w:r>
      <w:r w:rsidR="00D269CE">
        <w:t xml:space="preserve"> la </w:t>
      </w:r>
      <w:r w:rsidR="009446A5">
        <w:t xml:space="preserve">publication et la </w:t>
      </w:r>
      <w:r w:rsidR="00D269CE">
        <w:t xml:space="preserve">mise en concurrence </w:t>
      </w:r>
      <w:r w:rsidR="00050EAF">
        <w:t xml:space="preserve">préalable </w:t>
      </w:r>
      <w:r w:rsidR="00E95330">
        <w:t>permet</w:t>
      </w:r>
      <w:r w:rsidR="009446A5">
        <w:t>tent</w:t>
      </w:r>
      <w:r w:rsidR="00E95330">
        <w:t xml:space="preserve"> de contracter les offres les plus performantes. </w:t>
      </w:r>
    </w:p>
    <w:p w14:paraId="3A127994" w14:textId="77777777" w:rsidR="005D5B16" w:rsidRDefault="005D5B16" w:rsidP="00875906">
      <w:pPr>
        <w:jc w:val="both"/>
      </w:pPr>
      <w:r w:rsidRPr="00392AA9">
        <w:lastRenderedPageBreak/>
        <w:t xml:space="preserve">Enfin, ce changement pourrait affecter la confiance du public quant à la gestion des deniers publics, dans un contexte de rigueur budgétaire, en compromettant </w:t>
      </w:r>
      <w:r>
        <w:t>l’objectif</w:t>
      </w:r>
      <w:r w:rsidRPr="00392AA9">
        <w:t xml:space="preserve"> de transparenc</w:t>
      </w:r>
      <w:r>
        <w:t xml:space="preserve">e de l’action publique. </w:t>
      </w:r>
    </w:p>
    <w:p w14:paraId="46A2721D" w14:textId="1EF73CB6" w:rsidR="00875906" w:rsidRDefault="00875906" w:rsidP="00875906">
      <w:pPr>
        <w:jc w:val="center"/>
        <w:rPr>
          <w:b/>
          <w:bCs/>
          <w:sz w:val="28"/>
          <w:szCs w:val="28"/>
        </w:rPr>
      </w:pPr>
      <w:r w:rsidRPr="00875906">
        <w:rPr>
          <w:b/>
          <w:bCs/>
          <w:sz w:val="28"/>
          <w:szCs w:val="28"/>
          <w:u w:val="single"/>
        </w:rPr>
        <w:t>Proposition d’amendement n°</w:t>
      </w:r>
      <w:r>
        <w:rPr>
          <w:b/>
          <w:bCs/>
          <w:sz w:val="28"/>
          <w:szCs w:val="28"/>
          <w:u w:val="single"/>
        </w:rPr>
        <w:t>3</w:t>
      </w:r>
      <w:r w:rsidRPr="00875906">
        <w:rPr>
          <w:b/>
          <w:bCs/>
          <w:sz w:val="28"/>
          <w:szCs w:val="28"/>
        </w:rPr>
        <w:t xml:space="preserve"> : </w:t>
      </w:r>
      <w:r>
        <w:rPr>
          <w:b/>
          <w:bCs/>
          <w:sz w:val="28"/>
          <w:szCs w:val="28"/>
        </w:rPr>
        <w:t xml:space="preserve">supprimer l’extension du seuil de publicité préalable à 100 000 euros, dont peuvent bénéficier les marchés innovants, aux marchés de </w:t>
      </w:r>
      <w:proofErr w:type="spellStart"/>
      <w:r>
        <w:rPr>
          <w:b/>
          <w:bCs/>
          <w:sz w:val="28"/>
          <w:szCs w:val="28"/>
        </w:rPr>
        <w:t>ré-emploi</w:t>
      </w:r>
      <w:proofErr w:type="spellEnd"/>
      <w:r>
        <w:rPr>
          <w:b/>
          <w:bCs/>
          <w:sz w:val="28"/>
          <w:szCs w:val="28"/>
        </w:rPr>
        <w:t xml:space="preserve">, recyclage </w:t>
      </w:r>
      <w:r w:rsidR="00FF290C">
        <w:rPr>
          <w:b/>
          <w:bCs/>
          <w:sz w:val="28"/>
          <w:szCs w:val="28"/>
        </w:rPr>
        <w:t>et</w:t>
      </w:r>
      <w:r>
        <w:rPr>
          <w:b/>
          <w:bCs/>
          <w:sz w:val="28"/>
          <w:szCs w:val="28"/>
        </w:rPr>
        <w:t xml:space="preserve"> tenant compte de leur incidence énergétique ou environnementale</w:t>
      </w:r>
    </w:p>
    <w:p w14:paraId="3E74C8CE" w14:textId="77777777" w:rsidR="003E2543" w:rsidRDefault="003E2543"/>
    <w:p w14:paraId="6B6259B0" w14:textId="495F7556" w:rsidR="003E2543" w:rsidRDefault="00184877" w:rsidP="00184877">
      <w:pPr>
        <w:jc w:val="center"/>
        <w:rPr>
          <w:b/>
          <w:bCs/>
          <w:i/>
          <w:iCs/>
        </w:rPr>
      </w:pPr>
      <w:r w:rsidRPr="00184877">
        <w:rPr>
          <w:b/>
          <w:bCs/>
          <w:i/>
          <w:iCs/>
        </w:rPr>
        <w:t>Article 4 TER</w:t>
      </w:r>
    </w:p>
    <w:p w14:paraId="58FCA528" w14:textId="77777777" w:rsidR="0041410C" w:rsidRDefault="0041410C" w:rsidP="0041410C">
      <w:pPr>
        <w:pBdr>
          <w:top w:val="single" w:sz="4" w:space="1" w:color="auto"/>
          <w:left w:val="single" w:sz="4" w:space="4" w:color="auto"/>
          <w:bottom w:val="single" w:sz="4" w:space="1" w:color="auto"/>
          <w:right w:val="single" w:sz="4" w:space="4" w:color="auto"/>
        </w:pBdr>
        <w:rPr>
          <w:i/>
          <w:iCs/>
        </w:rPr>
      </w:pPr>
      <w:r w:rsidRPr="00A10A8E">
        <w:t xml:space="preserve">Supprimer cet article. </w:t>
      </w:r>
    </w:p>
    <w:p w14:paraId="46CE3C03" w14:textId="77777777" w:rsidR="00184877" w:rsidRDefault="00184877" w:rsidP="00184877"/>
    <w:p w14:paraId="66993B28" w14:textId="5AB462DD" w:rsidR="0041410C" w:rsidRDefault="0041410C" w:rsidP="0041410C">
      <w:pPr>
        <w:jc w:val="center"/>
        <w:rPr>
          <w:b/>
          <w:bCs/>
        </w:rPr>
      </w:pPr>
      <w:r w:rsidRPr="0041410C">
        <w:rPr>
          <w:b/>
          <w:bCs/>
        </w:rPr>
        <w:t>EXPOSE SOMMAIRE</w:t>
      </w:r>
    </w:p>
    <w:p w14:paraId="5686AFBA" w14:textId="7DF996F2" w:rsidR="00027699" w:rsidRDefault="00027699" w:rsidP="00875906">
      <w:pPr>
        <w:jc w:val="both"/>
      </w:pPr>
      <w:r>
        <w:t xml:space="preserve">Cet amendement a été suggéré par </w:t>
      </w:r>
      <w:proofErr w:type="spellStart"/>
      <w:r>
        <w:t>Transparency</w:t>
      </w:r>
      <w:proofErr w:type="spellEnd"/>
      <w:r>
        <w:t xml:space="preserve"> International France.</w:t>
      </w:r>
    </w:p>
    <w:p w14:paraId="5DF49CC7" w14:textId="23912192" w:rsidR="0041410C" w:rsidRDefault="00027699" w:rsidP="00875906">
      <w:pPr>
        <w:jc w:val="both"/>
      </w:pPr>
      <w:r>
        <w:t>Il</w:t>
      </w:r>
      <w:r w:rsidR="0041410C">
        <w:t xml:space="preserve"> vise à supprimer l’extension du seuil </w:t>
      </w:r>
      <w:r w:rsidR="005A4D43">
        <w:t>exceptionnel de</w:t>
      </w:r>
      <w:r w:rsidR="0041410C">
        <w:t xml:space="preserve"> 100 000 euros</w:t>
      </w:r>
      <w:r w:rsidR="005A4D43">
        <w:t>, au lieu de</w:t>
      </w:r>
      <w:r w:rsidR="00875906">
        <w:t>s</w:t>
      </w:r>
      <w:r w:rsidR="005A4D43">
        <w:t xml:space="preserve"> 40 000 euros</w:t>
      </w:r>
      <w:r w:rsidR="00875906">
        <w:t xml:space="preserve"> applicables aux marchés ordinaires</w:t>
      </w:r>
      <w:r w:rsidR="005A4D43">
        <w:t>,</w:t>
      </w:r>
      <w:r w:rsidR="0041410C">
        <w:t xml:space="preserve"> en dessous duquel un marché public de </w:t>
      </w:r>
      <w:r w:rsidR="0041410C" w:rsidRPr="0041410C">
        <w:t xml:space="preserve">travaux, fournitures ou services </w:t>
      </w:r>
      <w:r w:rsidR="0041410C">
        <w:t xml:space="preserve">peut être conclu sans publicité préalable, à condition qu’il soit innovant. L’article 4 TER </w:t>
      </w:r>
      <w:r w:rsidR="005A4D43">
        <w:t xml:space="preserve">du présent projet de loi </w:t>
      </w:r>
      <w:r w:rsidR="0041410C">
        <w:t xml:space="preserve">prévoit en effet d’étendre ce dispositif aux marchés </w:t>
      </w:r>
      <w:r w:rsidR="005A4D43">
        <w:t xml:space="preserve">de </w:t>
      </w:r>
      <w:r w:rsidR="005A4D43" w:rsidRPr="005A4D43">
        <w:t>travaux, fournitures ou services qui tiennent compte de leurs incidences énergétiques et environnementales et qui recourent en priorité à des matériaux issus de la seconde main, du réemploi, de la réutilisation et du recyclage.</w:t>
      </w:r>
      <w:r w:rsidR="005A4D43">
        <w:t xml:space="preserve"> </w:t>
      </w:r>
    </w:p>
    <w:p w14:paraId="6F1AA3CC" w14:textId="20EB5438" w:rsidR="005A4D43" w:rsidRDefault="005A4D43" w:rsidP="00875906">
      <w:pPr>
        <w:jc w:val="both"/>
      </w:pPr>
      <w:r>
        <w:t xml:space="preserve">Cette extension est trop floue et large, et elle donnerait la possibilité aux acheteurs publics de conclure un trop grand nombre de marchés publics avec de simples procédures de gré-à-gré opaques, qui renforcent les risques de corruption et de favoritisme. </w:t>
      </w:r>
    </w:p>
    <w:p w14:paraId="0BE39BED" w14:textId="64247154" w:rsidR="0041410C" w:rsidRDefault="005A4D43" w:rsidP="00875906">
      <w:pPr>
        <w:jc w:val="both"/>
      </w:pPr>
      <w:r>
        <w:t>De plus, cette extension contribuerait à la complexification du droit de la commande publique, en opposition avec l’objectif de simplification de la vie économique poursuivi par ce projet de loi. Le seuil de publicité préalable des marchés publics a déjà été modifié à 9 reprises depuis 200</w:t>
      </w:r>
      <w:r w:rsidR="00875906">
        <w:t>8 avec des hausses généralisées ou spécifiques du seuil de publicité préalable, au détriment de la lisibilité du Code de la commande publique.</w:t>
      </w:r>
    </w:p>
    <w:p w14:paraId="0A4B5FCD" w14:textId="77777777" w:rsidR="00D12CFC" w:rsidRDefault="00D12CFC" w:rsidP="00875906">
      <w:pPr>
        <w:jc w:val="both"/>
      </w:pPr>
    </w:p>
    <w:p w14:paraId="051E897E" w14:textId="77777777" w:rsidR="00D12CFC" w:rsidRDefault="00D12CFC" w:rsidP="00875906">
      <w:pPr>
        <w:jc w:val="both"/>
      </w:pPr>
    </w:p>
    <w:p w14:paraId="6A25B971" w14:textId="77777777" w:rsidR="00D12CFC" w:rsidRDefault="00D12CFC" w:rsidP="00875906">
      <w:pPr>
        <w:jc w:val="both"/>
      </w:pPr>
    </w:p>
    <w:p w14:paraId="215274BE" w14:textId="77777777" w:rsidR="00D12CFC" w:rsidRPr="005A4D43" w:rsidRDefault="00D12CFC" w:rsidP="00875906">
      <w:pPr>
        <w:jc w:val="both"/>
      </w:pPr>
    </w:p>
    <w:sectPr w:rsidR="00D12CFC" w:rsidRPr="005A4D43">
      <w:headerReference w:type="default" r:id="rId13"/>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725CB" w14:textId="77777777" w:rsidR="00012F36" w:rsidRDefault="00012F36" w:rsidP="000F28BB">
      <w:pPr>
        <w:spacing w:after="0" w:line="240" w:lineRule="auto"/>
      </w:pPr>
      <w:r>
        <w:separator/>
      </w:r>
    </w:p>
  </w:endnote>
  <w:endnote w:type="continuationSeparator" w:id="0">
    <w:p w14:paraId="44972D02" w14:textId="77777777" w:rsidR="00012F36" w:rsidRDefault="00012F36" w:rsidP="000F28BB">
      <w:pPr>
        <w:spacing w:after="0" w:line="240" w:lineRule="auto"/>
      </w:pPr>
      <w:r>
        <w:continuationSeparator/>
      </w:r>
    </w:p>
  </w:endnote>
  <w:endnote w:type="continuationNotice" w:id="1">
    <w:p w14:paraId="6E7E1811" w14:textId="77777777" w:rsidR="00012F36" w:rsidRDefault="00012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16784" w14:textId="77777777" w:rsidR="00012F36" w:rsidRDefault="00012F36" w:rsidP="000F28BB">
      <w:pPr>
        <w:spacing w:after="0" w:line="240" w:lineRule="auto"/>
      </w:pPr>
      <w:r>
        <w:separator/>
      </w:r>
    </w:p>
  </w:footnote>
  <w:footnote w:type="continuationSeparator" w:id="0">
    <w:p w14:paraId="59ED3704" w14:textId="77777777" w:rsidR="00012F36" w:rsidRDefault="00012F36" w:rsidP="000F28BB">
      <w:pPr>
        <w:spacing w:after="0" w:line="240" w:lineRule="auto"/>
      </w:pPr>
      <w:r>
        <w:continuationSeparator/>
      </w:r>
    </w:p>
  </w:footnote>
  <w:footnote w:type="continuationNotice" w:id="1">
    <w:p w14:paraId="36496980" w14:textId="77777777" w:rsidR="00012F36" w:rsidRDefault="00012F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364CA" w14:textId="78994EA3" w:rsidR="000F28BB" w:rsidRDefault="000F28BB">
    <w:pPr>
      <w:pStyle w:val="En-tte"/>
    </w:pPr>
    <w:r>
      <w:rPr>
        <w:noProof/>
      </w:rPr>
      <w:drawing>
        <wp:anchor distT="0" distB="0" distL="114300" distR="114300" simplePos="0" relativeHeight="251658240" behindDoc="1" locked="0" layoutInCell="1" allowOverlap="1" wp14:anchorId="2C6AB4CF" wp14:editId="03B63256">
          <wp:simplePos x="0" y="0"/>
          <wp:positionH relativeFrom="margin">
            <wp:align>center</wp:align>
          </wp:positionH>
          <wp:positionV relativeFrom="paragraph">
            <wp:posOffset>-292100</wp:posOffset>
          </wp:positionV>
          <wp:extent cx="1860550" cy="604273"/>
          <wp:effectExtent l="0" t="0" r="6350" b="5715"/>
          <wp:wrapNone/>
          <wp:docPr id="1162544403" name="Image 1" descr="Une image contenant Police, text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544403" name="Image 1" descr="Une image contenant Police, texte, Graphique, logo&#10;&#10;Description générée automatiquement"/>
                  <pic:cNvPicPr/>
                </pic:nvPicPr>
                <pic:blipFill>
                  <a:blip r:embed="rId1"/>
                  <a:stretch>
                    <a:fillRect/>
                  </a:stretch>
                </pic:blipFill>
                <pic:spPr>
                  <a:xfrm>
                    <a:off x="0" y="0"/>
                    <a:ext cx="1860550" cy="6042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93938"/>
    <w:multiLevelType w:val="hybridMultilevel"/>
    <w:tmpl w:val="AB380FB0"/>
    <w:lvl w:ilvl="0" w:tplc="FBC669A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3A2513"/>
    <w:multiLevelType w:val="hybridMultilevel"/>
    <w:tmpl w:val="A3D25A66"/>
    <w:lvl w:ilvl="0" w:tplc="021C3C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843A39"/>
    <w:multiLevelType w:val="hybridMultilevel"/>
    <w:tmpl w:val="6D225480"/>
    <w:lvl w:ilvl="0" w:tplc="BABEB6B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B610AE5"/>
    <w:multiLevelType w:val="hybridMultilevel"/>
    <w:tmpl w:val="6CE40408"/>
    <w:lvl w:ilvl="0" w:tplc="354AB55E">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CAB55CD"/>
    <w:multiLevelType w:val="hybridMultilevel"/>
    <w:tmpl w:val="75468FBE"/>
    <w:lvl w:ilvl="0" w:tplc="F33C07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04E5FE8"/>
    <w:multiLevelType w:val="hybridMultilevel"/>
    <w:tmpl w:val="445CCD18"/>
    <w:lvl w:ilvl="0" w:tplc="21DC5E90">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6915223D"/>
    <w:multiLevelType w:val="hybridMultilevel"/>
    <w:tmpl w:val="509CF5B2"/>
    <w:lvl w:ilvl="0" w:tplc="36920D1E">
      <w:start w:val="4"/>
      <w:numFmt w:val="bullet"/>
      <w:lvlText w:val="-"/>
      <w:lvlJc w:val="left"/>
      <w:pPr>
        <w:ind w:left="720" w:hanging="360"/>
      </w:pPr>
      <w:rPr>
        <w:rFonts w:ascii="Aptos" w:eastAsia="Times New Roman" w:hAnsi="Apto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2837935">
    <w:abstractNumId w:val="6"/>
  </w:num>
  <w:num w:numId="2" w16cid:durableId="1212419915">
    <w:abstractNumId w:val="2"/>
  </w:num>
  <w:num w:numId="3" w16cid:durableId="1919511365">
    <w:abstractNumId w:val="5"/>
  </w:num>
  <w:num w:numId="4" w16cid:durableId="1794594848">
    <w:abstractNumId w:val="3"/>
  </w:num>
  <w:num w:numId="5" w16cid:durableId="1160540060">
    <w:abstractNumId w:val="4"/>
  </w:num>
  <w:num w:numId="6" w16cid:durableId="1172259557">
    <w:abstractNumId w:val="0"/>
  </w:num>
  <w:num w:numId="7" w16cid:durableId="1396852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48"/>
    <w:rsid w:val="0001170B"/>
    <w:rsid w:val="00012F36"/>
    <w:rsid w:val="000147FD"/>
    <w:rsid w:val="00027699"/>
    <w:rsid w:val="0004303F"/>
    <w:rsid w:val="0004401E"/>
    <w:rsid w:val="00050EAF"/>
    <w:rsid w:val="00063242"/>
    <w:rsid w:val="000815F6"/>
    <w:rsid w:val="000921F5"/>
    <w:rsid w:val="00096245"/>
    <w:rsid w:val="000A6D11"/>
    <w:rsid w:val="000B2316"/>
    <w:rsid w:val="000B42C9"/>
    <w:rsid w:val="000B5D63"/>
    <w:rsid w:val="000C4BDC"/>
    <w:rsid w:val="000D1758"/>
    <w:rsid w:val="000E0DBF"/>
    <w:rsid w:val="000E57BF"/>
    <w:rsid w:val="000F05D3"/>
    <w:rsid w:val="000F28BB"/>
    <w:rsid w:val="000F57AF"/>
    <w:rsid w:val="001072F6"/>
    <w:rsid w:val="001163AB"/>
    <w:rsid w:val="0012057F"/>
    <w:rsid w:val="00124C96"/>
    <w:rsid w:val="001326E6"/>
    <w:rsid w:val="001344A6"/>
    <w:rsid w:val="00134528"/>
    <w:rsid w:val="00140415"/>
    <w:rsid w:val="00143793"/>
    <w:rsid w:val="00156DE5"/>
    <w:rsid w:val="001641C4"/>
    <w:rsid w:val="00176BC9"/>
    <w:rsid w:val="00180C7C"/>
    <w:rsid w:val="00181827"/>
    <w:rsid w:val="00184877"/>
    <w:rsid w:val="00187FE2"/>
    <w:rsid w:val="00190BEC"/>
    <w:rsid w:val="001A2625"/>
    <w:rsid w:val="001B2FB8"/>
    <w:rsid w:val="001C0C36"/>
    <w:rsid w:val="001C1C6A"/>
    <w:rsid w:val="001C4560"/>
    <w:rsid w:val="001D09FA"/>
    <w:rsid w:val="001E0945"/>
    <w:rsid w:val="001E46AB"/>
    <w:rsid w:val="001E4B20"/>
    <w:rsid w:val="001F5DD0"/>
    <w:rsid w:val="001F62CB"/>
    <w:rsid w:val="0020785D"/>
    <w:rsid w:val="0021348B"/>
    <w:rsid w:val="00217363"/>
    <w:rsid w:val="002175ED"/>
    <w:rsid w:val="00223D20"/>
    <w:rsid w:val="00240AAA"/>
    <w:rsid w:val="00245289"/>
    <w:rsid w:val="00256D1D"/>
    <w:rsid w:val="00261409"/>
    <w:rsid w:val="00282EAB"/>
    <w:rsid w:val="002853F0"/>
    <w:rsid w:val="002D5ACB"/>
    <w:rsid w:val="002F02B8"/>
    <w:rsid w:val="002F322B"/>
    <w:rsid w:val="0030780F"/>
    <w:rsid w:val="00307C51"/>
    <w:rsid w:val="0031143F"/>
    <w:rsid w:val="003131B0"/>
    <w:rsid w:val="00323B8E"/>
    <w:rsid w:val="00330C51"/>
    <w:rsid w:val="00357BBD"/>
    <w:rsid w:val="00365800"/>
    <w:rsid w:val="003707A4"/>
    <w:rsid w:val="003713DE"/>
    <w:rsid w:val="003805C1"/>
    <w:rsid w:val="003827F3"/>
    <w:rsid w:val="003B0744"/>
    <w:rsid w:val="003B376E"/>
    <w:rsid w:val="003C78B7"/>
    <w:rsid w:val="003E0AFE"/>
    <w:rsid w:val="003E2543"/>
    <w:rsid w:val="003F17BA"/>
    <w:rsid w:val="003F41A9"/>
    <w:rsid w:val="00411853"/>
    <w:rsid w:val="0041410C"/>
    <w:rsid w:val="004248EB"/>
    <w:rsid w:val="00425728"/>
    <w:rsid w:val="00452B29"/>
    <w:rsid w:val="00453D0D"/>
    <w:rsid w:val="00464EDA"/>
    <w:rsid w:val="00491F3A"/>
    <w:rsid w:val="00495990"/>
    <w:rsid w:val="004A27C3"/>
    <w:rsid w:val="004A76CF"/>
    <w:rsid w:val="004B423E"/>
    <w:rsid w:val="004C0094"/>
    <w:rsid w:val="004D2252"/>
    <w:rsid w:val="004D4858"/>
    <w:rsid w:val="004E4FB0"/>
    <w:rsid w:val="004F3952"/>
    <w:rsid w:val="004F5AF1"/>
    <w:rsid w:val="00507F21"/>
    <w:rsid w:val="00513DA0"/>
    <w:rsid w:val="00515433"/>
    <w:rsid w:val="0051748E"/>
    <w:rsid w:val="0052069D"/>
    <w:rsid w:val="005208D9"/>
    <w:rsid w:val="00520C7F"/>
    <w:rsid w:val="00526DCC"/>
    <w:rsid w:val="00531BA8"/>
    <w:rsid w:val="00532975"/>
    <w:rsid w:val="00533FF4"/>
    <w:rsid w:val="005343B5"/>
    <w:rsid w:val="00542BFE"/>
    <w:rsid w:val="0056038E"/>
    <w:rsid w:val="005604EE"/>
    <w:rsid w:val="00564A1D"/>
    <w:rsid w:val="00567468"/>
    <w:rsid w:val="0057220E"/>
    <w:rsid w:val="005744A2"/>
    <w:rsid w:val="0057664B"/>
    <w:rsid w:val="00583351"/>
    <w:rsid w:val="00587C4C"/>
    <w:rsid w:val="0059739E"/>
    <w:rsid w:val="00597FFB"/>
    <w:rsid w:val="005A4D43"/>
    <w:rsid w:val="005A6200"/>
    <w:rsid w:val="005A6DC7"/>
    <w:rsid w:val="005B0991"/>
    <w:rsid w:val="005B13E9"/>
    <w:rsid w:val="005B1455"/>
    <w:rsid w:val="005B540F"/>
    <w:rsid w:val="005B5877"/>
    <w:rsid w:val="005C6B7E"/>
    <w:rsid w:val="005D4881"/>
    <w:rsid w:val="005D5AA5"/>
    <w:rsid w:val="005D5B16"/>
    <w:rsid w:val="005E421E"/>
    <w:rsid w:val="006175A4"/>
    <w:rsid w:val="00632DD7"/>
    <w:rsid w:val="00637919"/>
    <w:rsid w:val="00652EF6"/>
    <w:rsid w:val="00666B88"/>
    <w:rsid w:val="00683DAC"/>
    <w:rsid w:val="00692A5E"/>
    <w:rsid w:val="006A7981"/>
    <w:rsid w:val="006E0AD2"/>
    <w:rsid w:val="006E3A96"/>
    <w:rsid w:val="006F1648"/>
    <w:rsid w:val="00705B12"/>
    <w:rsid w:val="00730061"/>
    <w:rsid w:val="0073744A"/>
    <w:rsid w:val="0076030B"/>
    <w:rsid w:val="007710DB"/>
    <w:rsid w:val="00774332"/>
    <w:rsid w:val="007852A8"/>
    <w:rsid w:val="0079580C"/>
    <w:rsid w:val="007A29AE"/>
    <w:rsid w:val="007A47F4"/>
    <w:rsid w:val="007A5949"/>
    <w:rsid w:val="007C2541"/>
    <w:rsid w:val="007C3BC5"/>
    <w:rsid w:val="007C438B"/>
    <w:rsid w:val="007C6D94"/>
    <w:rsid w:val="007D1435"/>
    <w:rsid w:val="007D552E"/>
    <w:rsid w:val="007D694C"/>
    <w:rsid w:val="007E501D"/>
    <w:rsid w:val="007F54A3"/>
    <w:rsid w:val="00804367"/>
    <w:rsid w:val="00807D99"/>
    <w:rsid w:val="008147DD"/>
    <w:rsid w:val="00820951"/>
    <w:rsid w:val="008251C5"/>
    <w:rsid w:val="00831BAD"/>
    <w:rsid w:val="00834360"/>
    <w:rsid w:val="00836A38"/>
    <w:rsid w:val="008376CA"/>
    <w:rsid w:val="00854DE5"/>
    <w:rsid w:val="008650A3"/>
    <w:rsid w:val="00873B20"/>
    <w:rsid w:val="00875906"/>
    <w:rsid w:val="00880D97"/>
    <w:rsid w:val="008851BB"/>
    <w:rsid w:val="008870E2"/>
    <w:rsid w:val="008A2265"/>
    <w:rsid w:val="008A4FF0"/>
    <w:rsid w:val="008A7DF4"/>
    <w:rsid w:val="008B4253"/>
    <w:rsid w:val="008B61E7"/>
    <w:rsid w:val="008C7121"/>
    <w:rsid w:val="008D0DF8"/>
    <w:rsid w:val="008D3DB7"/>
    <w:rsid w:val="00902CBD"/>
    <w:rsid w:val="00903CA1"/>
    <w:rsid w:val="00932B4D"/>
    <w:rsid w:val="0093484C"/>
    <w:rsid w:val="00935ECB"/>
    <w:rsid w:val="0094452C"/>
    <w:rsid w:val="009446A5"/>
    <w:rsid w:val="009465E3"/>
    <w:rsid w:val="009660E0"/>
    <w:rsid w:val="00973408"/>
    <w:rsid w:val="00973911"/>
    <w:rsid w:val="009739E6"/>
    <w:rsid w:val="00982F6F"/>
    <w:rsid w:val="009842C0"/>
    <w:rsid w:val="00986032"/>
    <w:rsid w:val="009865ED"/>
    <w:rsid w:val="009B162F"/>
    <w:rsid w:val="009B2DAA"/>
    <w:rsid w:val="009B6439"/>
    <w:rsid w:val="009D103A"/>
    <w:rsid w:val="009E17BD"/>
    <w:rsid w:val="009E503C"/>
    <w:rsid w:val="009E6108"/>
    <w:rsid w:val="00A040DD"/>
    <w:rsid w:val="00A10A8E"/>
    <w:rsid w:val="00A145C7"/>
    <w:rsid w:val="00A262F8"/>
    <w:rsid w:val="00A271DE"/>
    <w:rsid w:val="00A303AA"/>
    <w:rsid w:val="00A426A1"/>
    <w:rsid w:val="00A42745"/>
    <w:rsid w:val="00A44E75"/>
    <w:rsid w:val="00A45DA6"/>
    <w:rsid w:val="00A54DBF"/>
    <w:rsid w:val="00A553F5"/>
    <w:rsid w:val="00A55AD6"/>
    <w:rsid w:val="00A649F7"/>
    <w:rsid w:val="00A6656A"/>
    <w:rsid w:val="00A8523F"/>
    <w:rsid w:val="00A9304B"/>
    <w:rsid w:val="00AA063E"/>
    <w:rsid w:val="00AB2AB2"/>
    <w:rsid w:val="00AE1FF0"/>
    <w:rsid w:val="00B10442"/>
    <w:rsid w:val="00B13918"/>
    <w:rsid w:val="00B1494C"/>
    <w:rsid w:val="00B167BF"/>
    <w:rsid w:val="00B231CA"/>
    <w:rsid w:val="00B36B5F"/>
    <w:rsid w:val="00B4019D"/>
    <w:rsid w:val="00B42AA4"/>
    <w:rsid w:val="00B5448E"/>
    <w:rsid w:val="00B60592"/>
    <w:rsid w:val="00B623C0"/>
    <w:rsid w:val="00B646FE"/>
    <w:rsid w:val="00B66B1A"/>
    <w:rsid w:val="00B71D72"/>
    <w:rsid w:val="00B737A2"/>
    <w:rsid w:val="00B8107A"/>
    <w:rsid w:val="00B90968"/>
    <w:rsid w:val="00B958C1"/>
    <w:rsid w:val="00BB4FBB"/>
    <w:rsid w:val="00BE4137"/>
    <w:rsid w:val="00BF5882"/>
    <w:rsid w:val="00C00F83"/>
    <w:rsid w:val="00C013A1"/>
    <w:rsid w:val="00C0320E"/>
    <w:rsid w:val="00C1360E"/>
    <w:rsid w:val="00C17C0D"/>
    <w:rsid w:val="00C2079E"/>
    <w:rsid w:val="00C34677"/>
    <w:rsid w:val="00C35F5D"/>
    <w:rsid w:val="00C50CA1"/>
    <w:rsid w:val="00C515AA"/>
    <w:rsid w:val="00C6073D"/>
    <w:rsid w:val="00C7028F"/>
    <w:rsid w:val="00C706EB"/>
    <w:rsid w:val="00C76214"/>
    <w:rsid w:val="00C81869"/>
    <w:rsid w:val="00C84F13"/>
    <w:rsid w:val="00C92282"/>
    <w:rsid w:val="00C95B46"/>
    <w:rsid w:val="00CB15B8"/>
    <w:rsid w:val="00CD4A59"/>
    <w:rsid w:val="00CE642D"/>
    <w:rsid w:val="00CF51CA"/>
    <w:rsid w:val="00CF5530"/>
    <w:rsid w:val="00D02A45"/>
    <w:rsid w:val="00D03943"/>
    <w:rsid w:val="00D1087C"/>
    <w:rsid w:val="00D11E26"/>
    <w:rsid w:val="00D12CFC"/>
    <w:rsid w:val="00D21494"/>
    <w:rsid w:val="00D269CE"/>
    <w:rsid w:val="00D26EE8"/>
    <w:rsid w:val="00D304FE"/>
    <w:rsid w:val="00D45459"/>
    <w:rsid w:val="00D603B2"/>
    <w:rsid w:val="00D613DE"/>
    <w:rsid w:val="00D767AA"/>
    <w:rsid w:val="00D76D29"/>
    <w:rsid w:val="00D8308F"/>
    <w:rsid w:val="00DA1503"/>
    <w:rsid w:val="00DA56A7"/>
    <w:rsid w:val="00DA5A41"/>
    <w:rsid w:val="00DB04FB"/>
    <w:rsid w:val="00DB73AA"/>
    <w:rsid w:val="00DD1409"/>
    <w:rsid w:val="00DE2141"/>
    <w:rsid w:val="00DE5ED0"/>
    <w:rsid w:val="00DF141D"/>
    <w:rsid w:val="00DF261B"/>
    <w:rsid w:val="00DF4DB8"/>
    <w:rsid w:val="00E43F2A"/>
    <w:rsid w:val="00E47343"/>
    <w:rsid w:val="00E516B9"/>
    <w:rsid w:val="00E523D6"/>
    <w:rsid w:val="00E523FB"/>
    <w:rsid w:val="00E57F3C"/>
    <w:rsid w:val="00E75EBB"/>
    <w:rsid w:val="00E7601E"/>
    <w:rsid w:val="00E76DE5"/>
    <w:rsid w:val="00E95330"/>
    <w:rsid w:val="00E97E24"/>
    <w:rsid w:val="00EA20FC"/>
    <w:rsid w:val="00EC2155"/>
    <w:rsid w:val="00EC55D9"/>
    <w:rsid w:val="00EC67E9"/>
    <w:rsid w:val="00EE0374"/>
    <w:rsid w:val="00EE16FF"/>
    <w:rsid w:val="00EE5A14"/>
    <w:rsid w:val="00EE5EDF"/>
    <w:rsid w:val="00EE676F"/>
    <w:rsid w:val="00EF3899"/>
    <w:rsid w:val="00EF6EEC"/>
    <w:rsid w:val="00EF7A75"/>
    <w:rsid w:val="00F01178"/>
    <w:rsid w:val="00F123C1"/>
    <w:rsid w:val="00F1338C"/>
    <w:rsid w:val="00F20451"/>
    <w:rsid w:val="00F20F62"/>
    <w:rsid w:val="00F228F8"/>
    <w:rsid w:val="00F25B1F"/>
    <w:rsid w:val="00F42E6C"/>
    <w:rsid w:val="00F47629"/>
    <w:rsid w:val="00F51425"/>
    <w:rsid w:val="00F56715"/>
    <w:rsid w:val="00F57A23"/>
    <w:rsid w:val="00F60934"/>
    <w:rsid w:val="00F6345A"/>
    <w:rsid w:val="00F6515E"/>
    <w:rsid w:val="00F74AAA"/>
    <w:rsid w:val="00F9266A"/>
    <w:rsid w:val="00F950E9"/>
    <w:rsid w:val="00FA1918"/>
    <w:rsid w:val="00FB3BC1"/>
    <w:rsid w:val="00FC5AAB"/>
    <w:rsid w:val="00FD1F3E"/>
    <w:rsid w:val="00FD7C1C"/>
    <w:rsid w:val="00FF29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7AC8FA"/>
  <w14:defaultImageDpi w14:val="0"/>
  <w15:docId w15:val="{F14D52DF-9930-4272-8088-EBAEF2201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pPr>
    <w:rPr>
      <w:kern w:val="2"/>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A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9D103A"/>
    <w:rPr>
      <w:color w:val="467886"/>
      <w:u w:val="single"/>
    </w:rPr>
  </w:style>
  <w:style w:type="character" w:styleId="Mentionnonrsolue">
    <w:name w:val="Unresolved Mention"/>
    <w:uiPriority w:val="99"/>
    <w:semiHidden/>
    <w:unhideWhenUsed/>
    <w:rsid w:val="009D103A"/>
    <w:rPr>
      <w:color w:val="605E5C"/>
      <w:shd w:val="clear" w:color="auto" w:fill="E1DFDD"/>
    </w:rPr>
  </w:style>
  <w:style w:type="character" w:styleId="Lienhypertextesuivivisit">
    <w:name w:val="FollowedHyperlink"/>
    <w:uiPriority w:val="99"/>
    <w:semiHidden/>
    <w:unhideWhenUsed/>
    <w:rsid w:val="00807D99"/>
    <w:rPr>
      <w:color w:val="96607D"/>
      <w:u w:val="single"/>
    </w:rPr>
  </w:style>
  <w:style w:type="paragraph" w:styleId="En-tte">
    <w:name w:val="header"/>
    <w:basedOn w:val="Normal"/>
    <w:link w:val="En-tteCar"/>
    <w:uiPriority w:val="99"/>
    <w:unhideWhenUsed/>
    <w:rsid w:val="000F28BB"/>
    <w:pPr>
      <w:tabs>
        <w:tab w:val="center" w:pos="4536"/>
        <w:tab w:val="right" w:pos="9072"/>
      </w:tabs>
      <w:spacing w:after="0" w:line="240" w:lineRule="auto"/>
    </w:pPr>
  </w:style>
  <w:style w:type="character" w:customStyle="1" w:styleId="En-tteCar">
    <w:name w:val="En-tête Car"/>
    <w:basedOn w:val="Policepardfaut"/>
    <w:link w:val="En-tte"/>
    <w:uiPriority w:val="99"/>
    <w:rsid w:val="000F28BB"/>
    <w:rPr>
      <w:kern w:val="2"/>
      <w:sz w:val="24"/>
      <w:szCs w:val="24"/>
    </w:rPr>
  </w:style>
  <w:style w:type="paragraph" w:styleId="Pieddepage">
    <w:name w:val="footer"/>
    <w:basedOn w:val="Normal"/>
    <w:link w:val="PieddepageCar"/>
    <w:uiPriority w:val="99"/>
    <w:unhideWhenUsed/>
    <w:rsid w:val="000F28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F28B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75338">
      <w:bodyDiv w:val="1"/>
      <w:marLeft w:val="0"/>
      <w:marRight w:val="0"/>
      <w:marTop w:val="0"/>
      <w:marBottom w:val="0"/>
      <w:divBdr>
        <w:top w:val="none" w:sz="0" w:space="0" w:color="auto"/>
        <w:left w:val="none" w:sz="0" w:space="0" w:color="auto"/>
        <w:bottom w:val="none" w:sz="0" w:space="0" w:color="auto"/>
        <w:right w:val="none" w:sz="0" w:space="0" w:color="auto"/>
      </w:divBdr>
      <w:divsChild>
        <w:div w:id="527597222">
          <w:marLeft w:val="0"/>
          <w:marRight w:val="0"/>
          <w:marTop w:val="0"/>
          <w:marBottom w:val="0"/>
          <w:divBdr>
            <w:top w:val="none" w:sz="0" w:space="0" w:color="auto"/>
            <w:left w:val="none" w:sz="0" w:space="0" w:color="auto"/>
            <w:bottom w:val="none" w:sz="0" w:space="0" w:color="auto"/>
            <w:right w:val="none" w:sz="0" w:space="0" w:color="auto"/>
          </w:divBdr>
        </w:div>
        <w:div w:id="562251844">
          <w:marLeft w:val="0"/>
          <w:marRight w:val="0"/>
          <w:marTop w:val="0"/>
          <w:marBottom w:val="0"/>
          <w:divBdr>
            <w:top w:val="none" w:sz="0" w:space="0" w:color="auto"/>
            <w:left w:val="none" w:sz="0" w:space="0" w:color="auto"/>
            <w:bottom w:val="none" w:sz="0" w:space="0" w:color="auto"/>
            <w:right w:val="none" w:sz="0" w:space="0" w:color="auto"/>
          </w:divBdr>
        </w:div>
        <w:div w:id="1163278070">
          <w:marLeft w:val="0"/>
          <w:marRight w:val="0"/>
          <w:marTop w:val="0"/>
          <w:marBottom w:val="0"/>
          <w:divBdr>
            <w:top w:val="none" w:sz="0" w:space="0" w:color="auto"/>
            <w:left w:val="none" w:sz="0" w:space="0" w:color="auto"/>
            <w:bottom w:val="none" w:sz="0" w:space="0" w:color="auto"/>
            <w:right w:val="none" w:sz="0" w:space="0" w:color="auto"/>
          </w:divBdr>
        </w:div>
      </w:divsChild>
    </w:div>
    <w:div w:id="161745898">
      <w:bodyDiv w:val="1"/>
      <w:marLeft w:val="0"/>
      <w:marRight w:val="0"/>
      <w:marTop w:val="0"/>
      <w:marBottom w:val="0"/>
      <w:divBdr>
        <w:top w:val="none" w:sz="0" w:space="0" w:color="auto"/>
        <w:left w:val="none" w:sz="0" w:space="0" w:color="auto"/>
        <w:bottom w:val="none" w:sz="0" w:space="0" w:color="auto"/>
        <w:right w:val="none" w:sz="0" w:space="0" w:color="auto"/>
      </w:divBdr>
    </w:div>
    <w:div w:id="191117194">
      <w:bodyDiv w:val="1"/>
      <w:marLeft w:val="0"/>
      <w:marRight w:val="0"/>
      <w:marTop w:val="0"/>
      <w:marBottom w:val="0"/>
      <w:divBdr>
        <w:top w:val="none" w:sz="0" w:space="0" w:color="auto"/>
        <w:left w:val="none" w:sz="0" w:space="0" w:color="auto"/>
        <w:bottom w:val="none" w:sz="0" w:space="0" w:color="auto"/>
        <w:right w:val="none" w:sz="0" w:space="0" w:color="auto"/>
      </w:divBdr>
    </w:div>
    <w:div w:id="239296289">
      <w:bodyDiv w:val="1"/>
      <w:marLeft w:val="0"/>
      <w:marRight w:val="0"/>
      <w:marTop w:val="0"/>
      <w:marBottom w:val="0"/>
      <w:divBdr>
        <w:top w:val="none" w:sz="0" w:space="0" w:color="auto"/>
        <w:left w:val="none" w:sz="0" w:space="0" w:color="auto"/>
        <w:bottom w:val="none" w:sz="0" w:space="0" w:color="auto"/>
        <w:right w:val="none" w:sz="0" w:space="0" w:color="auto"/>
      </w:divBdr>
      <w:divsChild>
        <w:div w:id="1055423570">
          <w:marLeft w:val="0"/>
          <w:marRight w:val="0"/>
          <w:marTop w:val="0"/>
          <w:marBottom w:val="0"/>
          <w:divBdr>
            <w:top w:val="none" w:sz="0" w:space="0" w:color="auto"/>
            <w:left w:val="none" w:sz="0" w:space="0" w:color="auto"/>
            <w:bottom w:val="none" w:sz="0" w:space="0" w:color="auto"/>
            <w:right w:val="none" w:sz="0" w:space="0" w:color="auto"/>
          </w:divBdr>
        </w:div>
        <w:div w:id="1622492318">
          <w:marLeft w:val="0"/>
          <w:marRight w:val="0"/>
          <w:marTop w:val="0"/>
          <w:marBottom w:val="0"/>
          <w:divBdr>
            <w:top w:val="none" w:sz="0" w:space="0" w:color="auto"/>
            <w:left w:val="none" w:sz="0" w:space="0" w:color="auto"/>
            <w:bottom w:val="none" w:sz="0" w:space="0" w:color="auto"/>
            <w:right w:val="none" w:sz="0" w:space="0" w:color="auto"/>
          </w:divBdr>
        </w:div>
        <w:div w:id="1827430458">
          <w:marLeft w:val="0"/>
          <w:marRight w:val="0"/>
          <w:marTop w:val="0"/>
          <w:marBottom w:val="0"/>
          <w:divBdr>
            <w:top w:val="none" w:sz="0" w:space="0" w:color="auto"/>
            <w:left w:val="none" w:sz="0" w:space="0" w:color="auto"/>
            <w:bottom w:val="none" w:sz="0" w:space="0" w:color="auto"/>
            <w:right w:val="none" w:sz="0" w:space="0" w:color="auto"/>
          </w:divBdr>
        </w:div>
      </w:divsChild>
    </w:div>
    <w:div w:id="1446273165">
      <w:bodyDiv w:val="1"/>
      <w:marLeft w:val="0"/>
      <w:marRight w:val="0"/>
      <w:marTop w:val="0"/>
      <w:marBottom w:val="0"/>
      <w:divBdr>
        <w:top w:val="none" w:sz="0" w:space="0" w:color="auto"/>
        <w:left w:val="none" w:sz="0" w:space="0" w:color="auto"/>
        <w:bottom w:val="none" w:sz="0" w:space="0" w:color="auto"/>
        <w:right w:val="none" w:sz="0" w:space="0" w:color="auto"/>
      </w:divBdr>
    </w:div>
    <w:div w:id="166874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nat.fr/rap/l23-634/l23-6346.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ssemblee-nationale.fr/dyn/17/textes/l17b0481_projet-lo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5e66408e-7cb2-40b5-9ee7-0dd8435032cb" xsi:nil="true"/>
    <_ip_UnifiedCompliancePolicyProperties xmlns="http://schemas.microsoft.com/sharepoint/v3" xsi:nil="true"/>
    <lcf76f155ced4ddcb4097134ff3c332f xmlns="5e66408e-7cb2-40b5-9ee7-0dd8435032cb">
      <Terms xmlns="http://schemas.microsoft.com/office/infopath/2007/PartnerControls"/>
    </lcf76f155ced4ddcb4097134ff3c332f>
    <TaxCatchAll xmlns="83e95a3d-d3e3-4ab9-adc5-9b5c6d14066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88523AF85F836448AC9FC4A9A37EC6C" ma:contentTypeVersion="21" ma:contentTypeDescription="Crée un document." ma:contentTypeScope="" ma:versionID="4e0e9c87ef04ecaa6d65b9d53854de6d">
  <xsd:schema xmlns:xsd="http://www.w3.org/2001/XMLSchema" xmlns:xs="http://www.w3.org/2001/XMLSchema" xmlns:p="http://schemas.microsoft.com/office/2006/metadata/properties" xmlns:ns1="http://schemas.microsoft.com/sharepoint/v3" xmlns:ns2="5e66408e-7cb2-40b5-9ee7-0dd8435032cb" xmlns:ns3="83e95a3d-d3e3-4ab9-adc5-9b5c6d140667" targetNamespace="http://schemas.microsoft.com/office/2006/metadata/properties" ma:root="true" ma:fieldsID="fb0c405dc415957b5371a9c4038ed173" ns1:_="" ns2:_="" ns3:_="">
    <xsd:import namespace="http://schemas.microsoft.com/sharepoint/v3"/>
    <xsd:import namespace="5e66408e-7cb2-40b5-9ee7-0dd8435032cb"/>
    <xsd:import namespace="83e95a3d-d3e3-4ab9-adc5-9b5c6d1406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riétés de la stratégie de conformité unifiée" ma:hidden="true" ma:internalName="_ip_UnifiedCompliancePolicyProperties">
      <xsd:simpleType>
        <xsd:restriction base="dms:Note"/>
      </xsd:simpleType>
    </xsd:element>
    <xsd:element name="_ip_UnifiedCompliancePolicyUIAction" ma:index="2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6408e-7cb2-40b5-9ee7-0dd843503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dd85dcc-d5fa-408e-a42f-cb98906050e2"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e95a3d-d3e3-4ab9-adc5-9b5c6d14066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4d8ee29-17e3-42c8-9049-bc3ed43d493c}" ma:internalName="TaxCatchAll" ma:showField="CatchAllData" ma:web="83e95a3d-d3e3-4ab9-adc5-9b5c6d140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FBDAED-C951-4CE1-B28B-02A6FCDC5768}">
  <ds:schemaRefs>
    <ds:schemaRef ds:uri="http://schemas.microsoft.com/office/2006/metadata/properties"/>
    <ds:schemaRef ds:uri="http://schemas.microsoft.com/office/infopath/2007/PartnerControls"/>
    <ds:schemaRef ds:uri="http://schemas.microsoft.com/sharepoint/v3"/>
    <ds:schemaRef ds:uri="5e66408e-7cb2-40b5-9ee7-0dd8435032cb"/>
    <ds:schemaRef ds:uri="83e95a3d-d3e3-4ab9-adc5-9b5c6d140667"/>
  </ds:schemaRefs>
</ds:datastoreItem>
</file>

<file path=customXml/itemProps2.xml><?xml version="1.0" encoding="utf-8"?>
<ds:datastoreItem xmlns:ds="http://schemas.openxmlformats.org/officeDocument/2006/customXml" ds:itemID="{49442368-3911-47DB-A830-CD45D014D3BE}">
  <ds:schemaRefs>
    <ds:schemaRef ds:uri="http://schemas.openxmlformats.org/officeDocument/2006/bibliography"/>
  </ds:schemaRefs>
</ds:datastoreItem>
</file>

<file path=customXml/itemProps3.xml><?xml version="1.0" encoding="utf-8"?>
<ds:datastoreItem xmlns:ds="http://schemas.openxmlformats.org/officeDocument/2006/customXml" ds:itemID="{E5C7B44F-354B-4DB7-835C-99789EB3F901}">
  <ds:schemaRefs>
    <ds:schemaRef ds:uri="http://schemas.microsoft.com/sharepoint/v3/contenttype/forms"/>
  </ds:schemaRefs>
</ds:datastoreItem>
</file>

<file path=customXml/itemProps4.xml><?xml version="1.0" encoding="utf-8"?>
<ds:datastoreItem xmlns:ds="http://schemas.openxmlformats.org/officeDocument/2006/customXml" ds:itemID="{D0324E34-2C00-43D9-989A-7FA0CB12D380}"/>
</file>

<file path=docProps/app.xml><?xml version="1.0" encoding="utf-8"?>
<Properties xmlns="http://schemas.openxmlformats.org/officeDocument/2006/extended-properties" xmlns:vt="http://schemas.openxmlformats.org/officeDocument/2006/docPropsVTypes">
  <Template>Normal</Template>
  <TotalTime>0</TotalTime>
  <Pages>5</Pages>
  <Words>1183</Words>
  <Characters>6511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Kuhn (TI FR)</dc:creator>
  <cp:keywords/>
  <dc:description/>
  <cp:lastModifiedBy>Kevin Gernier (TI FR)</cp:lastModifiedBy>
  <cp:revision>10</cp:revision>
  <dcterms:created xsi:type="dcterms:W3CDTF">2024-11-20T23:50:00Z</dcterms:created>
  <dcterms:modified xsi:type="dcterms:W3CDTF">2025-03-17T16:19:00Z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0x010100B88523AF85F836448AC9FC4A9A37EC6C</vt:lpwstr>
  </property>
  <property fmtid="{D5CDD505-2E9C-101B-9397-08002B2CF9AE}" pid="3" name="MediaServiceImageTags">
    <vt:lpwstr/>
  </property>
</Properties>
</file>