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4BC5" w14:textId="0E744169" w:rsidR="001040EF" w:rsidRPr="001040EF" w:rsidRDefault="00A91050" w:rsidP="00104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1040EF">
        <w:rPr>
          <w:b/>
          <w:bCs/>
          <w:sz w:val="28"/>
          <w:szCs w:val="28"/>
        </w:rPr>
        <w:t xml:space="preserve">Annexe méthodologique de l’étude de </w:t>
      </w:r>
      <w:proofErr w:type="spellStart"/>
      <w:r w:rsidRPr="001040EF">
        <w:rPr>
          <w:b/>
          <w:bCs/>
          <w:sz w:val="28"/>
          <w:szCs w:val="28"/>
        </w:rPr>
        <w:t>Transparency</w:t>
      </w:r>
      <w:proofErr w:type="spellEnd"/>
      <w:r w:rsidRPr="001040EF">
        <w:rPr>
          <w:b/>
          <w:bCs/>
          <w:sz w:val="28"/>
          <w:szCs w:val="28"/>
        </w:rPr>
        <w:t xml:space="preserve"> International France </w:t>
      </w:r>
      <w:r w:rsidR="001040EF" w:rsidRPr="001040EF">
        <w:rPr>
          <w:b/>
          <w:bCs/>
          <w:sz w:val="28"/>
          <w:szCs w:val="28"/>
        </w:rPr>
        <w:t>sur les asymétries de moyens financiers entre lobbys à but lucratifs et lobbys à but non lucratifs à partir des données du répertoire des représentants d’intérêts de la HATVP</w:t>
      </w:r>
    </w:p>
    <w:p w14:paraId="74277257" w14:textId="134D950B" w:rsidR="00A91050" w:rsidRDefault="00A91050" w:rsidP="00A91050"/>
    <w:p w14:paraId="1CF9C635" w14:textId="1621575C" w:rsidR="00207CB0" w:rsidRPr="00207CB0" w:rsidRDefault="00207CB0" w:rsidP="001040EF">
      <w:pPr>
        <w:pStyle w:val="Paragraphedeliste"/>
        <w:numPr>
          <w:ilvl w:val="0"/>
          <w:numId w:val="2"/>
        </w:numPr>
        <w:jc w:val="center"/>
        <w:rPr>
          <w:b/>
          <w:bCs/>
        </w:rPr>
      </w:pPr>
      <w:r w:rsidRPr="00207CB0">
        <w:rPr>
          <w:b/>
          <w:bCs/>
        </w:rPr>
        <w:t>Source des données</w:t>
      </w:r>
    </w:p>
    <w:p w14:paraId="75557D96" w14:textId="1CFE21AD" w:rsidR="000939CA" w:rsidRDefault="0049371D" w:rsidP="001040EF">
      <w:pPr>
        <w:jc w:val="both"/>
      </w:pPr>
      <w:r>
        <w:t>Cette étude a été réalisé</w:t>
      </w:r>
      <w:r w:rsidR="001040EF">
        <w:t>e</w:t>
      </w:r>
      <w:r>
        <w:t xml:space="preserve"> à partir des données ouvertes du répertoire des représentants d’intérêts de la </w:t>
      </w:r>
      <w:r w:rsidR="003F5978">
        <w:t xml:space="preserve">Haute autorité pour la transparence de la vie publique, accessibles à ce lien </w:t>
      </w:r>
      <w:hyperlink r:id="rId8" w:history="1">
        <w:r w:rsidR="006D4CC1" w:rsidRPr="001A19EC">
          <w:rPr>
            <w:rStyle w:val="Lienhypertexte"/>
          </w:rPr>
          <w:t>https://www.hatvp.fr/le-repertoire/</w:t>
        </w:r>
      </w:hyperlink>
      <w:r w:rsidR="006D4CC1">
        <w:t xml:space="preserve"> (onglet « open data »).</w:t>
      </w:r>
    </w:p>
    <w:p w14:paraId="132849A7" w14:textId="23E0BD95" w:rsidR="006D4CC1" w:rsidRDefault="006D4CC1" w:rsidP="001040EF">
      <w:pPr>
        <w:jc w:val="both"/>
      </w:pPr>
      <w:r>
        <w:t xml:space="preserve">Ces données sont mises à jour toutes les 24h </w:t>
      </w:r>
      <w:r w:rsidR="00212ECF">
        <w:t>par</w:t>
      </w:r>
      <w:r w:rsidR="00DA0D3A">
        <w:t xml:space="preserve"> la HATVP. </w:t>
      </w:r>
      <w:r w:rsidR="0074497D">
        <w:t xml:space="preserve">L’étude a été mise à jour à partir d’une extraction des données datant du </w:t>
      </w:r>
      <w:r w:rsidR="00EA63FE" w:rsidRPr="00EA63FE">
        <w:t>15</w:t>
      </w:r>
      <w:r w:rsidR="0074497D">
        <w:t xml:space="preserve"> </w:t>
      </w:r>
      <w:r w:rsidR="00460444">
        <w:t>mai</w:t>
      </w:r>
      <w:r w:rsidR="0074497D">
        <w:t xml:space="preserve"> 2025.</w:t>
      </w:r>
    </w:p>
    <w:p w14:paraId="1666EEE2" w14:textId="001C9A9F" w:rsidR="00C8093F" w:rsidRDefault="00C8093F" w:rsidP="001040EF">
      <w:pPr>
        <w:jc w:val="both"/>
      </w:pPr>
      <w:r>
        <w:t xml:space="preserve">Le travail de </w:t>
      </w:r>
      <w:proofErr w:type="spellStart"/>
      <w:r>
        <w:t>re-catégorisation</w:t>
      </w:r>
      <w:proofErr w:type="spellEnd"/>
      <w:r>
        <w:t xml:space="preserve"> des lobbys actuellement inscrits ou ayant été inscrits au répertoire depuis sa création le 1</w:t>
      </w:r>
      <w:r w:rsidRPr="00C8093F">
        <w:rPr>
          <w:vertAlign w:val="superscript"/>
        </w:rPr>
        <w:t>er</w:t>
      </w:r>
      <w:r>
        <w:t xml:space="preserve"> Juillet 2017 a été effectué à partir du jeu de données </w:t>
      </w:r>
      <w:r w:rsidR="004305E6">
        <w:t xml:space="preserve">au format XLSX intitulé </w:t>
      </w:r>
      <w:r>
        <w:t>« </w:t>
      </w:r>
      <w:r w:rsidR="004305E6">
        <w:t>1_informations_générales »</w:t>
      </w:r>
      <w:r w:rsidR="00364F69">
        <w:t xml:space="preserve">, disponible dans le dossier </w:t>
      </w:r>
      <w:r w:rsidR="00E63D07">
        <w:t>« archive vues séparées »</w:t>
      </w:r>
      <w:r w:rsidR="0074497D">
        <w:t xml:space="preserve"> qui recense les principales informations descriptives</w:t>
      </w:r>
      <w:r w:rsidR="00E63D07">
        <w:t xml:space="preserve"> sur les représentants d’intérêts inscrits. Figure notamment dans </w:t>
      </w:r>
      <w:r w:rsidR="00795BF2">
        <w:t xml:space="preserve">ces données, en colonne </w:t>
      </w:r>
      <w:r w:rsidR="009104B8">
        <w:t>W intitulée « </w:t>
      </w:r>
      <w:proofErr w:type="spellStart"/>
      <w:r w:rsidR="009104B8">
        <w:t>label_categorie_organisation</w:t>
      </w:r>
      <w:proofErr w:type="spellEnd"/>
      <w:r w:rsidR="009104B8">
        <w:t xml:space="preserve"> », une donnée en </w:t>
      </w:r>
      <w:r w:rsidR="00DD43DC">
        <w:t>liste</w:t>
      </w:r>
      <w:r w:rsidR="009104B8">
        <w:t xml:space="preserve"> fermé</w:t>
      </w:r>
      <w:r w:rsidR="00DD43DC">
        <w:t>e</w:t>
      </w:r>
      <w:r w:rsidR="009104B8">
        <w:t xml:space="preserve"> </w:t>
      </w:r>
      <w:r w:rsidR="001E2F01">
        <w:t xml:space="preserve">sur la catégorie du représentant d’intérêts. Cette catégorie doit être sélectionnée par le </w:t>
      </w:r>
      <w:r w:rsidR="00DD43DC">
        <w:t>représentant d’intérêt</w:t>
      </w:r>
      <w:r w:rsidR="001E2F01">
        <w:t xml:space="preserve"> au moment de son inscription, parmi une liste fermée de </w:t>
      </w:r>
      <w:r w:rsidR="006932D0">
        <w:t xml:space="preserve">sous-catégories classées par </w:t>
      </w:r>
      <w:r w:rsidR="00DD43DC">
        <w:t xml:space="preserve">grandes </w:t>
      </w:r>
      <w:r w:rsidR="006932D0">
        <w:t>catégories</w:t>
      </w:r>
      <w:r w:rsidR="009C3F81">
        <w:t>, dont la liste est indiquée ci-dessous :</w:t>
      </w:r>
    </w:p>
    <w:p w14:paraId="778188B9" w14:textId="77777777" w:rsidR="00E83C46" w:rsidRPr="00E83C46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83C46">
        <w:rPr>
          <w:b/>
          <w:bCs/>
        </w:rPr>
        <w:t>Cabinets de conseil/Cabinets d’avocats/consultants agissant en qualité d’indépendant</w:t>
      </w:r>
    </w:p>
    <w:p w14:paraId="3F6716B2" w14:textId="1AD72FC1" w:rsidR="00E83C46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Cabinet de conseil</w:t>
      </w:r>
    </w:p>
    <w:p w14:paraId="70DE7D4F" w14:textId="4C4FBD27" w:rsidR="00E83C46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Cabinet d’avocats</w:t>
      </w:r>
    </w:p>
    <w:p w14:paraId="227A26F4" w14:textId="2A186A4B" w:rsidR="00E83C46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Travailleur indépendant</w:t>
      </w:r>
    </w:p>
    <w:p w14:paraId="43351DCE" w14:textId="77777777" w:rsidR="00E83C46" w:rsidRPr="00E83C46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83C46">
        <w:rPr>
          <w:b/>
          <w:bCs/>
        </w:rPr>
        <w:t>Entreprises</w:t>
      </w:r>
    </w:p>
    <w:p w14:paraId="67C54665" w14:textId="05B29305" w:rsidR="00E83C46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Société commerciale et civile (autre que cabinet d’avocats et société de conseil)</w:t>
      </w:r>
    </w:p>
    <w:p w14:paraId="162A7360" w14:textId="2EBEDD24" w:rsidR="00E83C46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Coopérative agricole</w:t>
      </w:r>
    </w:p>
    <w:p w14:paraId="7598E5D1" w14:textId="77777777" w:rsidR="00E83C46" w:rsidRPr="00154400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54400">
        <w:rPr>
          <w:b/>
          <w:bCs/>
        </w:rPr>
        <w:t>Groupements professionnels</w:t>
      </w:r>
    </w:p>
    <w:p w14:paraId="05B568C2" w14:textId="4796FED8" w:rsidR="00E83C46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Organisation syndicale et professionnelle</w:t>
      </w:r>
    </w:p>
    <w:p w14:paraId="1B808843" w14:textId="6B367C00" w:rsidR="00E83C46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Fédération professionnelle</w:t>
      </w:r>
    </w:p>
    <w:p w14:paraId="2CF82525" w14:textId="69690F07" w:rsidR="00E83C46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Chambre consulaire</w:t>
      </w:r>
    </w:p>
    <w:p w14:paraId="46B5B5C3" w14:textId="77777777" w:rsidR="00E83C46" w:rsidRPr="00405C8B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05C8B">
        <w:rPr>
          <w:b/>
          <w:bCs/>
        </w:rPr>
        <w:lastRenderedPageBreak/>
        <w:t>Organisations non gouvernementales</w:t>
      </w:r>
    </w:p>
    <w:p w14:paraId="440AD1F5" w14:textId="63C978C6" w:rsidR="00E83C46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Association</w:t>
      </w:r>
    </w:p>
    <w:p w14:paraId="6E256EDB" w14:textId="3B84B4D1" w:rsidR="00E83C46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Fondation</w:t>
      </w:r>
    </w:p>
    <w:p w14:paraId="2D1AB302" w14:textId="77777777" w:rsidR="00E83C46" w:rsidRPr="00405C8B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05C8B">
        <w:rPr>
          <w:b/>
          <w:bCs/>
        </w:rPr>
        <w:t>Organismes de réflexion et de recherche</w:t>
      </w:r>
    </w:p>
    <w:p w14:paraId="7452197B" w14:textId="0856E7C2" w:rsidR="00E83C46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Organisme de recherche </w:t>
      </w:r>
    </w:p>
    <w:p w14:paraId="0CA88803" w14:textId="3B98C459" w:rsidR="00E83C46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Entité de coopération culturelle</w:t>
      </w:r>
    </w:p>
    <w:p w14:paraId="3876862D" w14:textId="0C86CDC2" w:rsidR="00E83C46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Groupe de réflexion (</w:t>
      </w:r>
      <w:proofErr w:type="spellStart"/>
      <w:r>
        <w:t>think</w:t>
      </w:r>
      <w:proofErr w:type="spellEnd"/>
      <w:r>
        <w:t xml:space="preserve"> tank)</w:t>
      </w:r>
    </w:p>
    <w:p w14:paraId="360630D5" w14:textId="77777777" w:rsidR="00E83C46" w:rsidRPr="00405C8B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05C8B">
        <w:rPr>
          <w:b/>
          <w:bCs/>
        </w:rPr>
        <w:t>Autres organisations</w:t>
      </w:r>
    </w:p>
    <w:p w14:paraId="268C35F8" w14:textId="77777777" w:rsidR="00E83C46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L’Etablissement public exerçant une activité industrielle et commerciale</w:t>
      </w:r>
    </w:p>
    <w:p w14:paraId="6BFF35B8" w14:textId="77777777" w:rsidR="00E83C46" w:rsidRDefault="00E83C46" w:rsidP="00405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 Groupement d’intérêt public exerçant une activité industrielle et commerciale</w:t>
      </w:r>
    </w:p>
    <w:p w14:paraId="3B94B527" w14:textId="5E007B06" w:rsidR="000939CA" w:rsidRDefault="00E83C46" w:rsidP="0034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Autre organisation</w:t>
      </w:r>
    </w:p>
    <w:p w14:paraId="0407CAD5" w14:textId="10A68DC9" w:rsidR="00343CBB" w:rsidRDefault="00343CBB" w:rsidP="001040EF">
      <w:pPr>
        <w:jc w:val="both"/>
      </w:pPr>
      <w:r>
        <w:t>Ces catégories étaient moins détaillées lors de la création du répertoire le 1</w:t>
      </w:r>
      <w:r w:rsidRPr="00960437">
        <w:rPr>
          <w:vertAlign w:val="superscript"/>
        </w:rPr>
        <w:t>er</w:t>
      </w:r>
      <w:r>
        <w:t xml:space="preserve"> juillet 2017, elles ont été enrichies par les nouvelles </w:t>
      </w:r>
      <w:hyperlink r:id="rId9" w:history="1">
        <w:r w:rsidRPr="00E75E74">
          <w:rPr>
            <w:rStyle w:val="Lienhypertexte"/>
          </w:rPr>
          <w:t>lignes directrices</w:t>
        </w:r>
      </w:hyperlink>
      <w:r>
        <w:t xml:space="preserve"> de la HATVP entrée en vigueur le 1</w:t>
      </w:r>
      <w:r w:rsidRPr="00960437">
        <w:rPr>
          <w:vertAlign w:val="superscript"/>
        </w:rPr>
        <w:t>er</w:t>
      </w:r>
      <w:r>
        <w:t xml:space="preserve"> octobre 2023. Ces modifications ultérieures ont créé une superposition de catégories proches dans les données analysées.</w:t>
      </w:r>
    </w:p>
    <w:p w14:paraId="49DDB5DF" w14:textId="1974A35D" w:rsidR="00207CB0" w:rsidRPr="00207CB0" w:rsidRDefault="00207CB0" w:rsidP="001040EF">
      <w:pPr>
        <w:pStyle w:val="Paragraphedeliste"/>
        <w:numPr>
          <w:ilvl w:val="0"/>
          <w:numId w:val="2"/>
        </w:numPr>
        <w:jc w:val="center"/>
        <w:rPr>
          <w:b/>
          <w:bCs/>
        </w:rPr>
      </w:pPr>
      <w:r w:rsidRPr="00207CB0">
        <w:rPr>
          <w:b/>
          <w:bCs/>
        </w:rPr>
        <w:t xml:space="preserve">Travail d’enrichissement des données effectué par </w:t>
      </w:r>
      <w:proofErr w:type="spellStart"/>
      <w:r w:rsidRPr="00207CB0">
        <w:rPr>
          <w:b/>
          <w:bCs/>
        </w:rPr>
        <w:t>Transparency</w:t>
      </w:r>
      <w:proofErr w:type="spellEnd"/>
      <w:r w:rsidRPr="00207CB0">
        <w:rPr>
          <w:b/>
          <w:bCs/>
        </w:rPr>
        <w:t xml:space="preserve"> International France</w:t>
      </w:r>
    </w:p>
    <w:p w14:paraId="2E0A5251" w14:textId="514BBE52" w:rsidR="00207CB0" w:rsidRDefault="00851DDA" w:rsidP="001040EF">
      <w:pPr>
        <w:jc w:val="both"/>
      </w:pPr>
      <w:r>
        <w:t xml:space="preserve">Afin d’analyser les asymétries entre intérêts lucratifs et non lucratifs, 2 nouveaux types de données ont été ajoutées aux données originelles de la HATVP : la nouvelle sous-catégorie attribuée par </w:t>
      </w:r>
      <w:proofErr w:type="spellStart"/>
      <w:r>
        <w:t>Transparency</w:t>
      </w:r>
      <w:proofErr w:type="spellEnd"/>
      <w:r>
        <w:t xml:space="preserve"> International France</w:t>
      </w:r>
      <w:r w:rsidR="005C402C">
        <w:t xml:space="preserve"> (colonne </w:t>
      </w:r>
      <w:r w:rsidR="002A0C37">
        <w:t>Z</w:t>
      </w:r>
      <w:r w:rsidR="005C402C">
        <w:t xml:space="preserve"> du fichier XLSX enrichi)</w:t>
      </w:r>
      <w:r>
        <w:t xml:space="preserve">, et le rattachement de ces nouvelles sous-catégories à </w:t>
      </w:r>
      <w:r w:rsidR="00DB770D">
        <w:t>une</w:t>
      </w:r>
      <w:r>
        <w:t xml:space="preserve"> macro-catégorie</w:t>
      </w:r>
      <w:r w:rsidR="00DB770D">
        <w:t xml:space="preserve"> binaire : intérêt lucratif/intérêt non lucratif</w:t>
      </w:r>
      <w:r w:rsidR="005C402C">
        <w:t xml:space="preserve"> (colonne AD du fichier XLSX enrichi</w:t>
      </w:r>
      <w:r w:rsidR="007842E3">
        <w:t xml:space="preserve"> intitulé « Type d’intérêts représentés »</w:t>
      </w:r>
      <w:r w:rsidR="005C402C">
        <w:t>)</w:t>
      </w:r>
      <w:r w:rsidR="00DB770D">
        <w:t>.</w:t>
      </w:r>
    </w:p>
    <w:p w14:paraId="69683137" w14:textId="39CEE9C0" w:rsidR="00343CBB" w:rsidRDefault="00EF28BA" w:rsidP="001040EF">
      <w:pPr>
        <w:jc w:val="both"/>
      </w:pPr>
      <w:proofErr w:type="spellStart"/>
      <w:r w:rsidRPr="00EF28BA">
        <w:t>Transparency</w:t>
      </w:r>
      <w:proofErr w:type="spellEnd"/>
      <w:r w:rsidRPr="00EF28BA">
        <w:t xml:space="preserve"> International France a procédé à</w:t>
      </w:r>
      <w:r>
        <w:t xml:space="preserve"> un travail d’évaluation manuel de l’ensemble des représentants d’intérêts</w:t>
      </w:r>
      <w:r w:rsidR="00343CBB">
        <w:t xml:space="preserve"> inscrits dans ce jeu de données. </w:t>
      </w:r>
      <w:r w:rsidR="002A0C37">
        <w:t>Afin de déterminer si la catégorie originelle auto déclarée par le lobby était correct</w:t>
      </w:r>
      <w:r w:rsidR="00450BE9">
        <w:t>e</w:t>
      </w:r>
      <w:r w:rsidR="002A0C37">
        <w:t xml:space="preserve"> (</w:t>
      </w:r>
      <w:r w:rsidR="00450BE9">
        <w:t xml:space="preserve"> verdict de cette évaluation disponible en colonne Y)</w:t>
      </w:r>
      <w:r w:rsidR="00973035">
        <w:t xml:space="preserve">, </w:t>
      </w:r>
      <w:r w:rsidR="00674604">
        <w:t>la</w:t>
      </w:r>
      <w:r w:rsidR="001809D3">
        <w:t xml:space="preserve"> définitions suivante </w:t>
      </w:r>
      <w:r w:rsidR="00674604">
        <w:t>a</w:t>
      </w:r>
      <w:r w:rsidR="001809D3">
        <w:t xml:space="preserve"> été appliqué :</w:t>
      </w:r>
    </w:p>
    <w:p w14:paraId="58DF8987" w14:textId="2D5BFDEB" w:rsidR="001809D3" w:rsidRDefault="001809D3" w:rsidP="001040EF">
      <w:pPr>
        <w:pStyle w:val="Paragraphedeliste"/>
        <w:numPr>
          <w:ilvl w:val="0"/>
          <w:numId w:val="3"/>
        </w:numPr>
        <w:jc w:val="both"/>
      </w:pPr>
      <w:r>
        <w:t xml:space="preserve">Les organisations catégorisées comme ONG/Association </w:t>
      </w:r>
      <w:r w:rsidR="0088449F">
        <w:t>défendent</w:t>
      </w:r>
      <w:r>
        <w:t xml:space="preserve"> des intérêts principalement non lucratifs/non commerciaux.</w:t>
      </w:r>
    </w:p>
    <w:p w14:paraId="653F5BE1" w14:textId="5836EC85" w:rsidR="0088449F" w:rsidRDefault="0088449F" w:rsidP="001040EF">
      <w:pPr>
        <w:jc w:val="both"/>
      </w:pPr>
      <w:r>
        <w:t xml:space="preserve">Si une organisation </w:t>
      </w:r>
      <w:r w:rsidR="00674604">
        <w:t>auto-déclarée apparait c</w:t>
      </w:r>
      <w:r w:rsidR="00EF7F6D">
        <w:t xml:space="preserve">omme défendant en réalité les intérêts d’un secteur économique ou d’entreprises, alors elle </w:t>
      </w:r>
      <w:r w:rsidR="00E75E74">
        <w:t>a été</w:t>
      </w:r>
      <w:r w:rsidR="00EF7F6D">
        <w:t xml:space="preserve"> catégorisée </w:t>
      </w:r>
      <w:r w:rsidR="00D44F33">
        <w:t xml:space="preserve">comme « fédération professionnelle ». Si elle apparait comme défendant en réalité les intérêts d’une </w:t>
      </w:r>
      <w:r w:rsidR="00D44F33">
        <w:lastRenderedPageBreak/>
        <w:t xml:space="preserve">profession, alors elle devrait être catégorisée comme « organisation syndicale et professionnelle ». </w:t>
      </w:r>
    </w:p>
    <w:p w14:paraId="497A2356" w14:textId="521CACFD" w:rsidR="00D44F33" w:rsidRDefault="00D44F33" w:rsidP="001040EF">
      <w:pPr>
        <w:jc w:val="both"/>
      </w:pPr>
      <w:r>
        <w:t xml:space="preserve">Les autres sous-catégories proposées par la HATVP lors de l’inscription souffrent </w:t>
      </w:r>
      <w:r w:rsidR="008C5AC6">
        <w:t>de moins d’ambiguïté dans leur définition.</w:t>
      </w:r>
    </w:p>
    <w:p w14:paraId="00419570" w14:textId="5AB4676B" w:rsidR="008C5AC6" w:rsidRDefault="008C5AC6" w:rsidP="001040EF">
      <w:pPr>
        <w:jc w:val="both"/>
      </w:pPr>
      <w:r>
        <w:t xml:space="preserve">Le travail de </w:t>
      </w:r>
      <w:r w:rsidR="00E75E74">
        <w:t>recatégorisation</w:t>
      </w:r>
      <w:r>
        <w:t xml:space="preserve"> </w:t>
      </w:r>
      <w:r w:rsidR="002E4C68">
        <w:t xml:space="preserve">s’est fondé sur la méthodologie suivante : </w:t>
      </w:r>
    </w:p>
    <w:p w14:paraId="305EBB7D" w14:textId="179E3D39" w:rsidR="002E4C68" w:rsidRDefault="002E4C68" w:rsidP="001040EF">
      <w:pPr>
        <w:pStyle w:val="Paragraphedeliste"/>
        <w:numPr>
          <w:ilvl w:val="0"/>
          <w:numId w:val="3"/>
        </w:numPr>
        <w:jc w:val="both"/>
      </w:pPr>
      <w:r>
        <w:t>1</w:t>
      </w:r>
      <w:r w:rsidRPr="002E4C68">
        <w:rPr>
          <w:vertAlign w:val="superscript"/>
        </w:rPr>
        <w:t>ère</w:t>
      </w:r>
      <w:r>
        <w:t xml:space="preserve"> étape : </w:t>
      </w:r>
      <w:r w:rsidR="002666A2">
        <w:t>analyse de la dénomination de l’organisation (colonne I). Par exemple, s</w:t>
      </w:r>
      <w:r>
        <w:t>i le nom de l’organisation indique clairement qu’elle représente des intérêts économiques (par exemple :  « fédération professionnelle</w:t>
      </w:r>
      <w:r w:rsidR="008C180D">
        <w:t xml:space="preserve"> de</w:t>
      </w:r>
      <w:r>
        <w:t> »</w:t>
      </w:r>
      <w:r w:rsidR="008C180D">
        <w:t xml:space="preserve">…) alors elle a été catégorisé comme telle. </w:t>
      </w:r>
    </w:p>
    <w:p w14:paraId="33641C58" w14:textId="5FA13754" w:rsidR="008C180D" w:rsidRDefault="008C180D" w:rsidP="001040EF">
      <w:pPr>
        <w:pStyle w:val="Paragraphedeliste"/>
        <w:numPr>
          <w:ilvl w:val="0"/>
          <w:numId w:val="3"/>
        </w:numPr>
        <w:jc w:val="both"/>
      </w:pPr>
      <w:r>
        <w:t>2</w:t>
      </w:r>
      <w:r w:rsidRPr="008C180D">
        <w:rPr>
          <w:vertAlign w:val="superscript"/>
        </w:rPr>
        <w:t>ème</w:t>
      </w:r>
      <w:r>
        <w:t xml:space="preserve"> étape : si l</w:t>
      </w:r>
      <w:r w:rsidR="00931021">
        <w:t xml:space="preserve">a dénomination n’est pas suffisamment explicite, </w:t>
      </w:r>
      <w:r w:rsidR="001F7DB0">
        <w:t>une recherche a été effectué sur le site de l’organisation (colonne O). Si la présentation de l’organisation indiqu</w:t>
      </w:r>
      <w:r w:rsidR="00D06AE7">
        <w:t>e sans ambiguïté le type d’intérêt représenté, la catégorie est confirmée ou infirmée.</w:t>
      </w:r>
    </w:p>
    <w:p w14:paraId="604F3AE6" w14:textId="3D927843" w:rsidR="00D06AE7" w:rsidRDefault="00D06AE7" w:rsidP="001040EF">
      <w:pPr>
        <w:pStyle w:val="Paragraphedeliste"/>
        <w:numPr>
          <w:ilvl w:val="0"/>
          <w:numId w:val="3"/>
        </w:numPr>
        <w:jc w:val="both"/>
      </w:pPr>
      <w:r>
        <w:t>3</w:t>
      </w:r>
      <w:r w:rsidRPr="00D06AE7">
        <w:rPr>
          <w:vertAlign w:val="superscript"/>
        </w:rPr>
        <w:t>ème</w:t>
      </w:r>
      <w:r>
        <w:t xml:space="preserve"> étape : si l</w:t>
      </w:r>
      <w:r w:rsidR="00033198">
        <w:t xml:space="preserve">a présentation de l’organisation n’est pas suffisamment explicite sur le site, une recherche a été effectuée sur la liste des membres et la composition du conseil d’administration de l’organisation. </w:t>
      </w:r>
      <w:r w:rsidR="0072237B">
        <w:t>Par exemple, si</w:t>
      </w:r>
      <w:r w:rsidR="00033198">
        <w:t xml:space="preserve"> ces deux éléments indiquent que l’organisation représente majoritairement des entreprises</w:t>
      </w:r>
      <w:r w:rsidR="0072237B">
        <w:t xml:space="preserve"> ou une profession alors qu’elle se déclare comme ONG/association, sa catégorie a été modifiée. </w:t>
      </w:r>
    </w:p>
    <w:p w14:paraId="5BB2186C" w14:textId="62E5CFF9" w:rsidR="0072237B" w:rsidRDefault="00BD13B4" w:rsidP="001040EF">
      <w:pPr>
        <w:jc w:val="both"/>
      </w:pPr>
      <w:r>
        <w:t xml:space="preserve">La colonne AA indique une justification sommaire en cas de changement de la catégorie de l’organisation, et la colonne AB </w:t>
      </w:r>
      <w:r w:rsidR="00017E54">
        <w:t>indique toute remarque complémentaire</w:t>
      </w:r>
      <w:r w:rsidR="00153683">
        <w:t xml:space="preserve"> des évaluateurs</w:t>
      </w:r>
      <w:r w:rsidR="00017E54">
        <w:t>.</w:t>
      </w:r>
    </w:p>
    <w:p w14:paraId="04337ED9" w14:textId="63759115" w:rsidR="00017E54" w:rsidRDefault="00017E54" w:rsidP="001040EF">
      <w:pPr>
        <w:jc w:val="both"/>
      </w:pPr>
      <w:r>
        <w:t xml:space="preserve">Pour les cas les plus ambigus, </w:t>
      </w:r>
      <w:proofErr w:type="spellStart"/>
      <w:r>
        <w:t>Transparency</w:t>
      </w:r>
      <w:proofErr w:type="spellEnd"/>
      <w:r>
        <w:t xml:space="preserve"> International France</w:t>
      </w:r>
      <w:r w:rsidR="00153683">
        <w:t xml:space="preserve"> a</w:t>
      </w:r>
      <w:r>
        <w:t xml:space="preserve"> appliqué une évaluation large de la catégorie des intérêts non-lucratifs, pour ne pas</w:t>
      </w:r>
      <w:r w:rsidR="001D0771">
        <w:t xml:space="preserve"> être accusée d’avoir gonflé artificiellement le nombre des organisations représentants des intérêts lucratifs. </w:t>
      </w:r>
      <w:r w:rsidR="00CC738F">
        <w:t xml:space="preserve">Ainsi, toutes les organisations se </w:t>
      </w:r>
      <w:r w:rsidR="00BF2B60">
        <w:t>présentant</w:t>
      </w:r>
      <w:r w:rsidR="00CC738F">
        <w:t xml:space="preserve"> comme des </w:t>
      </w:r>
      <w:proofErr w:type="spellStart"/>
      <w:r w:rsidR="00CC738F">
        <w:t>think</w:t>
      </w:r>
      <w:proofErr w:type="spellEnd"/>
      <w:r w:rsidR="00BF2B60">
        <w:t>-</w:t>
      </w:r>
      <w:r w:rsidR="00CC738F">
        <w:t>tanks ont été classées dans la macro-catégorie des intérêts non-lucratifs</w:t>
      </w:r>
      <w:r w:rsidR="00270E8A">
        <w:t xml:space="preserve"> alors même que ce statut est parfois utilisé pour camoufler des intérêts lucratifs.</w:t>
      </w:r>
    </w:p>
    <w:p w14:paraId="4782F192" w14:textId="73E10F41" w:rsidR="00293399" w:rsidRDefault="00270E8A" w:rsidP="001040EF">
      <w:pPr>
        <w:jc w:val="both"/>
      </w:pPr>
      <w:r>
        <w:t xml:space="preserve">De plus, certaines organisations </w:t>
      </w:r>
      <w:r w:rsidR="00293399">
        <w:t xml:space="preserve">à la frontière des intérêts lucratifs et non lucratifs ont été classé dans des nouvelles catégories créées par </w:t>
      </w:r>
      <w:proofErr w:type="spellStart"/>
      <w:r w:rsidR="00293399">
        <w:t>Transparency</w:t>
      </w:r>
      <w:proofErr w:type="spellEnd"/>
      <w:r w:rsidR="00293399">
        <w:t xml:space="preserve"> International France. Il s’agit </w:t>
      </w:r>
      <w:r w:rsidR="00F61353">
        <w:t xml:space="preserve">des </w:t>
      </w:r>
      <w:r w:rsidR="00293399">
        <w:t>:</w:t>
      </w:r>
    </w:p>
    <w:p w14:paraId="1EC7A118" w14:textId="63BF661F" w:rsidR="00293399" w:rsidRDefault="00F61353" w:rsidP="001040EF">
      <w:pPr>
        <w:pStyle w:val="Paragraphedeliste"/>
        <w:numPr>
          <w:ilvl w:val="0"/>
          <w:numId w:val="4"/>
        </w:numPr>
        <w:jc w:val="both"/>
      </w:pPr>
      <w:r>
        <w:t>F</w:t>
      </w:r>
      <w:r w:rsidR="00293399">
        <w:t>édérations sportives</w:t>
      </w:r>
    </w:p>
    <w:p w14:paraId="6B7BD209" w14:textId="2C7DE6EB" w:rsidR="00293399" w:rsidRDefault="00F61353" w:rsidP="001040EF">
      <w:pPr>
        <w:pStyle w:val="Paragraphedeliste"/>
        <w:numPr>
          <w:ilvl w:val="0"/>
          <w:numId w:val="4"/>
        </w:numPr>
        <w:jc w:val="both"/>
      </w:pPr>
      <w:r>
        <w:t>Organisations de l’économie sociale et solidaire</w:t>
      </w:r>
    </w:p>
    <w:p w14:paraId="08358594" w14:textId="75108296" w:rsidR="00293399" w:rsidRDefault="00293399" w:rsidP="001040EF">
      <w:pPr>
        <w:pStyle w:val="Paragraphedeliste"/>
        <w:numPr>
          <w:ilvl w:val="0"/>
          <w:numId w:val="4"/>
        </w:numPr>
        <w:jc w:val="both"/>
      </w:pPr>
      <w:r>
        <w:t>Grandes écoles</w:t>
      </w:r>
    </w:p>
    <w:p w14:paraId="08523E3C" w14:textId="0334E2D5" w:rsidR="00293399" w:rsidRDefault="00F61353" w:rsidP="001040EF">
      <w:pPr>
        <w:pStyle w:val="Paragraphedeliste"/>
        <w:numPr>
          <w:ilvl w:val="0"/>
          <w:numId w:val="4"/>
        </w:numPr>
        <w:jc w:val="both"/>
      </w:pPr>
      <w:r>
        <w:t>Groupements d’intérêt économique</w:t>
      </w:r>
    </w:p>
    <w:p w14:paraId="562A3181" w14:textId="1EEEB0B1" w:rsidR="00293399" w:rsidRDefault="00293399" w:rsidP="001040EF">
      <w:pPr>
        <w:pStyle w:val="Paragraphedeliste"/>
        <w:numPr>
          <w:ilvl w:val="0"/>
          <w:numId w:val="4"/>
        </w:numPr>
        <w:jc w:val="both"/>
      </w:pPr>
      <w:r>
        <w:t>Entreprise publique</w:t>
      </w:r>
    </w:p>
    <w:p w14:paraId="2BB9F410" w14:textId="6A6E9FB4" w:rsidR="00293399" w:rsidRDefault="00293399" w:rsidP="001040EF">
      <w:pPr>
        <w:pStyle w:val="Paragraphedeliste"/>
        <w:numPr>
          <w:ilvl w:val="0"/>
          <w:numId w:val="4"/>
        </w:numPr>
        <w:jc w:val="both"/>
      </w:pPr>
      <w:r>
        <w:t>Mutuelle</w:t>
      </w:r>
      <w:r w:rsidR="00F61353">
        <w:t>s</w:t>
      </w:r>
    </w:p>
    <w:p w14:paraId="17D4C742" w14:textId="1A2E88BB" w:rsidR="00293399" w:rsidRDefault="00F61353" w:rsidP="001040EF">
      <w:pPr>
        <w:pStyle w:val="Paragraphedeliste"/>
        <w:numPr>
          <w:ilvl w:val="0"/>
          <w:numId w:val="4"/>
        </w:numPr>
        <w:jc w:val="both"/>
      </w:pPr>
      <w:r>
        <w:t>Organisations de gestion de HLM</w:t>
      </w:r>
    </w:p>
    <w:p w14:paraId="7580CDBA" w14:textId="3C5AC959" w:rsidR="00270E8A" w:rsidRDefault="00F61353" w:rsidP="001040EF">
      <w:pPr>
        <w:jc w:val="both"/>
      </w:pPr>
      <w:r>
        <w:lastRenderedPageBreak/>
        <w:t>Toutes ces nouvelles catégories ont été rattachées à la macro catégorie des intérêts non lucratifs.</w:t>
      </w:r>
    </w:p>
    <w:p w14:paraId="777DE95A" w14:textId="159617C8" w:rsidR="00772086" w:rsidRDefault="00F61353" w:rsidP="001040EF">
      <w:pPr>
        <w:jc w:val="both"/>
      </w:pPr>
      <w:r>
        <w:t>Ce travail a abouti à la répartition suivante des sous-catégories entre les macro-catégories intérêts lucratifs/non-lucratifs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3"/>
        <w:gridCol w:w="4459"/>
      </w:tblGrid>
      <w:tr w:rsidR="00772086" w14:paraId="58448877" w14:textId="77777777" w:rsidTr="004C2A3C">
        <w:tc>
          <w:tcPr>
            <w:tcW w:w="4531" w:type="dxa"/>
          </w:tcPr>
          <w:p w14:paraId="78DCA07E" w14:textId="77777777" w:rsidR="00772086" w:rsidRDefault="00772086" w:rsidP="004C2A3C">
            <w:pPr>
              <w:rPr>
                <w:b/>
                <w:bCs/>
              </w:rPr>
            </w:pPr>
            <w:r>
              <w:rPr>
                <w:b/>
                <w:bCs/>
              </w:rPr>
              <w:t>Intérêts lucratifs</w:t>
            </w:r>
          </w:p>
        </w:tc>
        <w:tc>
          <w:tcPr>
            <w:tcW w:w="4531" w:type="dxa"/>
          </w:tcPr>
          <w:p w14:paraId="43060041" w14:textId="77777777" w:rsidR="00772086" w:rsidRDefault="00772086" w:rsidP="004C2A3C">
            <w:pPr>
              <w:rPr>
                <w:b/>
                <w:bCs/>
              </w:rPr>
            </w:pPr>
            <w:r w:rsidRPr="00837E86">
              <w:rPr>
                <w:b/>
                <w:bCs/>
              </w:rPr>
              <w:t>Intérêts non lucratifs</w:t>
            </w:r>
          </w:p>
        </w:tc>
      </w:tr>
      <w:tr w:rsidR="00772086" w14:paraId="46D335C5" w14:textId="77777777" w:rsidTr="004C2A3C">
        <w:tc>
          <w:tcPr>
            <w:tcW w:w="4531" w:type="dxa"/>
          </w:tcPr>
          <w:p w14:paraId="033ECFCA" w14:textId="77777777" w:rsidR="00772086" w:rsidRDefault="00772086" w:rsidP="00D12DB2">
            <w:pPr>
              <w:rPr>
                <w:b/>
                <w:bCs/>
              </w:rPr>
            </w:pPr>
          </w:p>
          <w:p w14:paraId="46ADBD21" w14:textId="77ACA53C" w:rsidR="00D12DB2" w:rsidRDefault="00D12DB2" w:rsidP="00D12DB2">
            <w:pPr>
              <w:rPr>
                <w:b/>
                <w:bCs/>
              </w:rPr>
            </w:pPr>
            <w:r w:rsidRPr="00D12DB2">
              <w:rPr>
                <w:b/>
                <w:bCs/>
                <w:noProof/>
              </w:rPr>
              <w:drawing>
                <wp:inline distT="0" distB="0" distL="0" distR="0" wp14:anchorId="354BD4ED" wp14:editId="378840BC">
                  <wp:extent cx="3111500" cy="2527718"/>
                  <wp:effectExtent l="0" t="0" r="0" b="6350"/>
                  <wp:docPr id="198094218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94218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782" cy="253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999F6A2" w14:textId="20B6DCB6" w:rsidR="00772086" w:rsidRDefault="0062153E" w:rsidP="004C2A3C">
            <w:r w:rsidRPr="0062153E">
              <w:rPr>
                <w:noProof/>
              </w:rPr>
              <w:drawing>
                <wp:inline distT="0" distB="0" distL="0" distR="0" wp14:anchorId="223DE31F" wp14:editId="3B3EEE29">
                  <wp:extent cx="3010055" cy="2057506"/>
                  <wp:effectExtent l="0" t="0" r="0" b="0"/>
                  <wp:docPr id="122947077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7077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055" cy="2057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770E7" w14:textId="77777777" w:rsidR="00772086" w:rsidRDefault="00772086" w:rsidP="004C2A3C">
            <w:pPr>
              <w:rPr>
                <w:b/>
                <w:bCs/>
              </w:rPr>
            </w:pPr>
          </w:p>
        </w:tc>
      </w:tr>
    </w:tbl>
    <w:p w14:paraId="2FC296F7" w14:textId="77777777" w:rsidR="00772086" w:rsidRDefault="00772086" w:rsidP="00772086">
      <w:pPr>
        <w:rPr>
          <w:b/>
          <w:bCs/>
        </w:rPr>
      </w:pPr>
    </w:p>
    <w:p w14:paraId="39B3F79C" w14:textId="77777777" w:rsidR="001040EF" w:rsidRDefault="001040EF" w:rsidP="00772086">
      <w:pPr>
        <w:rPr>
          <w:b/>
          <w:bCs/>
        </w:rPr>
      </w:pPr>
    </w:p>
    <w:p w14:paraId="572657BF" w14:textId="5B8EEE4F" w:rsidR="00772086" w:rsidRDefault="00772086" w:rsidP="00772086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Estimation des dépenses de lobbying</w:t>
      </w:r>
    </w:p>
    <w:p w14:paraId="1CAEB9B0" w14:textId="448D4F3A" w:rsidR="00772086" w:rsidRDefault="002370B1" w:rsidP="00212ECF">
      <w:pPr>
        <w:jc w:val="both"/>
      </w:pPr>
      <w:r>
        <w:t xml:space="preserve">A cause du </w:t>
      </w:r>
      <w:hyperlink r:id="rId12" w:history="1">
        <w:r w:rsidR="00BF2B60" w:rsidRPr="00FD6465">
          <w:rPr>
            <w:rStyle w:val="Lienhypertexte"/>
          </w:rPr>
          <w:t>d</w:t>
        </w:r>
        <w:r w:rsidR="00D765E0" w:rsidRPr="00FD6465">
          <w:rPr>
            <w:rStyle w:val="Lienhypertexte"/>
          </w:rPr>
          <w:t>écret n° 2017-867 du 9 mai 2017</w:t>
        </w:r>
      </w:hyperlink>
      <w:r w:rsidR="00D765E0" w:rsidRPr="00D765E0">
        <w:t xml:space="preserve"> relatif au répertoire numérique des représentants d'intérêts</w:t>
      </w:r>
      <w:r w:rsidR="00D765E0">
        <w:t xml:space="preserve">, les dépenses de lobbying doivent être déclarées dans des fourchettes larges et pas par montant précis. </w:t>
      </w:r>
    </w:p>
    <w:p w14:paraId="7AE28B18" w14:textId="4E9A031E" w:rsidR="00266C20" w:rsidRDefault="00E213B8" w:rsidP="00212ECF">
      <w:pPr>
        <w:jc w:val="both"/>
      </w:pPr>
      <w:r>
        <w:t xml:space="preserve">Ces fourchettes sont précisées par </w:t>
      </w:r>
      <w:r w:rsidR="00266C20">
        <w:t xml:space="preserve">un </w:t>
      </w:r>
      <w:hyperlink r:id="rId13" w:history="1">
        <w:r w:rsidRPr="00FD6465">
          <w:rPr>
            <w:rStyle w:val="Lienhypertexte"/>
          </w:rPr>
          <w:t xml:space="preserve">arrêté </w:t>
        </w:r>
        <w:r w:rsidR="00266C20" w:rsidRPr="00FD6465">
          <w:rPr>
            <w:rStyle w:val="Lienhypertexte"/>
          </w:rPr>
          <w:t>du 4 juillet 2017 </w:t>
        </w:r>
      </w:hyperlink>
      <w:r w:rsidR="00266C20">
        <w:t xml:space="preserve">: 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0"/>
      </w:tblGrid>
      <w:tr w:rsidR="004C5489" w:rsidRPr="004C5489" w14:paraId="0E819D2C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28E5AF44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MONTANT DES DÉPENSES CONSACRÉES AUX ACTIONS DE REPRÉSENTATION D'INTÉRÊTS</w:t>
            </w:r>
          </w:p>
        </w:tc>
      </w:tr>
      <w:tr w:rsidR="004C5489" w:rsidRPr="004C5489" w14:paraId="053DCC90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1D774FD1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&lt; 10 000 euros</w:t>
            </w:r>
          </w:p>
        </w:tc>
      </w:tr>
      <w:tr w:rsidR="004C5489" w:rsidRPr="004C5489" w14:paraId="7C44A554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2EDD564D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10 000 euros et &lt; 25 000 euros</w:t>
            </w:r>
          </w:p>
        </w:tc>
      </w:tr>
      <w:tr w:rsidR="004C5489" w:rsidRPr="004C5489" w14:paraId="1C4B9A20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70879427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25 000 euros et &lt; 50 000 euros</w:t>
            </w:r>
          </w:p>
        </w:tc>
      </w:tr>
      <w:tr w:rsidR="004C5489" w:rsidRPr="004C5489" w14:paraId="7947ED9C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1B647E24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50 000 euros et &lt; 75 000 euros</w:t>
            </w:r>
          </w:p>
        </w:tc>
      </w:tr>
      <w:tr w:rsidR="004C5489" w:rsidRPr="004C5489" w14:paraId="05CC4478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57738543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75 000 euros et &lt; 100 000 euros</w:t>
            </w:r>
          </w:p>
        </w:tc>
      </w:tr>
      <w:tr w:rsidR="004C5489" w:rsidRPr="004C5489" w14:paraId="19DBA5B0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086B5D01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100 000 euros et &lt; 200 000 euros</w:t>
            </w:r>
          </w:p>
        </w:tc>
      </w:tr>
      <w:tr w:rsidR="004C5489" w:rsidRPr="004C5489" w14:paraId="5A5CDA87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1A701EDE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200 000 euros et &lt; 300 000 euros</w:t>
            </w:r>
          </w:p>
        </w:tc>
      </w:tr>
      <w:tr w:rsidR="004C5489" w:rsidRPr="004C5489" w14:paraId="0568B940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37384981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300 000 euros et &lt; 400 000 euros</w:t>
            </w:r>
          </w:p>
        </w:tc>
      </w:tr>
      <w:tr w:rsidR="004C5489" w:rsidRPr="004C5489" w14:paraId="595C251C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1D97887F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400 000 euros et &lt; 500 000 euros</w:t>
            </w:r>
          </w:p>
        </w:tc>
      </w:tr>
      <w:tr w:rsidR="004C5489" w:rsidRPr="004C5489" w14:paraId="461AB1F5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3F088D1F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500 000 euros et &lt; 600 000 euros</w:t>
            </w:r>
          </w:p>
        </w:tc>
      </w:tr>
      <w:tr w:rsidR="004C5489" w:rsidRPr="004C5489" w14:paraId="25926041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0929D9BA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600 000 euros et &lt; 700 000 euros</w:t>
            </w:r>
          </w:p>
        </w:tc>
      </w:tr>
      <w:tr w:rsidR="004C5489" w:rsidRPr="004C5489" w14:paraId="7CF215AA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7B83737A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700 000 euros et &lt; 800 000 euros</w:t>
            </w:r>
          </w:p>
        </w:tc>
      </w:tr>
      <w:tr w:rsidR="004C5489" w:rsidRPr="004C5489" w14:paraId="2AE37611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6E360ED2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800 000 euros et &lt; 900 000 euros</w:t>
            </w:r>
          </w:p>
        </w:tc>
      </w:tr>
      <w:tr w:rsidR="004C5489" w:rsidRPr="004C5489" w14:paraId="5B0C7B51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733533AD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900 000 euros et &lt; 1 000 000 euros</w:t>
            </w:r>
          </w:p>
        </w:tc>
      </w:tr>
      <w:tr w:rsidR="004C5489" w:rsidRPr="004C5489" w14:paraId="23AA637A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08E3BBDB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lastRenderedPageBreak/>
              <w:t>&gt; = 1 000 000 euros et &lt; 1 250 000 euros</w:t>
            </w:r>
          </w:p>
        </w:tc>
      </w:tr>
      <w:tr w:rsidR="004C5489" w:rsidRPr="004C5489" w14:paraId="3B41E31B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5AB70B85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1 250 000 euros et &lt; 1 500 000 euros</w:t>
            </w:r>
          </w:p>
        </w:tc>
      </w:tr>
      <w:tr w:rsidR="004C5489" w:rsidRPr="004C5489" w14:paraId="77F2BC7F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69B24AF6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1 500 000 euros et &lt; 1 750 000 euros</w:t>
            </w:r>
          </w:p>
        </w:tc>
      </w:tr>
      <w:tr w:rsidR="004C5489" w:rsidRPr="004C5489" w14:paraId="5982CB10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36363B04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1 750 000 euros et &lt; 2 000 000 euros</w:t>
            </w:r>
          </w:p>
        </w:tc>
      </w:tr>
      <w:tr w:rsidR="004C5489" w:rsidRPr="004C5489" w14:paraId="025A5EA9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09B51103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2 000 000 euros et &lt; 2 250 000 euros</w:t>
            </w:r>
          </w:p>
        </w:tc>
      </w:tr>
      <w:tr w:rsidR="004C5489" w:rsidRPr="004C5489" w14:paraId="4D566E8B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5FEE2035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2 250 000 euros et &lt; 2 500 000 euros</w:t>
            </w:r>
          </w:p>
        </w:tc>
      </w:tr>
      <w:tr w:rsidR="004C5489" w:rsidRPr="004C5489" w14:paraId="0EC0D9FD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07DB9A73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2 500 000 euros et &lt; 2 750 000 euros</w:t>
            </w:r>
          </w:p>
        </w:tc>
      </w:tr>
      <w:tr w:rsidR="004C5489" w:rsidRPr="004C5489" w14:paraId="5D634683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177778D5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2 750 000 euros et &lt; 3 000 000 euros</w:t>
            </w:r>
          </w:p>
        </w:tc>
      </w:tr>
      <w:tr w:rsidR="004C5489" w:rsidRPr="004C5489" w14:paraId="241BC0F9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44950634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3 000 000 euros et &lt; 3 250 000 euros</w:t>
            </w:r>
          </w:p>
        </w:tc>
      </w:tr>
      <w:tr w:rsidR="004C5489" w:rsidRPr="004C5489" w14:paraId="0396089D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57C6E041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3 250 000 euros et &lt; 3 500 000 euros</w:t>
            </w:r>
          </w:p>
        </w:tc>
      </w:tr>
      <w:tr w:rsidR="004C5489" w:rsidRPr="004C5489" w14:paraId="66CD33E9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2DD53133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3 500 000 euros et &lt; 3 750 000 euros</w:t>
            </w:r>
          </w:p>
        </w:tc>
      </w:tr>
      <w:tr w:rsidR="004C5489" w:rsidRPr="004C5489" w14:paraId="5AB3A7E6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694D6F4C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3 750 000 euros et &lt; 4 000 000 euros</w:t>
            </w:r>
          </w:p>
        </w:tc>
      </w:tr>
      <w:tr w:rsidR="004C5489" w:rsidRPr="004C5489" w14:paraId="775A55F1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393D14F9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4 000 000 euros et &lt; 4 250 000 euros</w:t>
            </w:r>
          </w:p>
        </w:tc>
      </w:tr>
      <w:tr w:rsidR="004C5489" w:rsidRPr="004C5489" w14:paraId="1692D428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5F9FF54F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4 250 000 euros et &lt; 4 500 000 euros</w:t>
            </w:r>
          </w:p>
        </w:tc>
      </w:tr>
      <w:tr w:rsidR="004C5489" w:rsidRPr="004C5489" w14:paraId="071DEDB7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19E1D10F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4 500 000 euros et &lt; 4 750 000 euros</w:t>
            </w:r>
          </w:p>
        </w:tc>
      </w:tr>
      <w:tr w:rsidR="004C5489" w:rsidRPr="004C5489" w14:paraId="700A72D6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223540FA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4 750 000 euros et &lt; 5 000 000 euros</w:t>
            </w:r>
          </w:p>
        </w:tc>
      </w:tr>
      <w:tr w:rsidR="004C5489" w:rsidRPr="004C5489" w14:paraId="648B4614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5BE46889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5 000 000 euros et &lt; 5 250 000 euros</w:t>
            </w:r>
          </w:p>
        </w:tc>
      </w:tr>
      <w:tr w:rsidR="004C5489" w:rsidRPr="004C5489" w14:paraId="4CB992CF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4E0C6633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5 250 000 euros et &lt; 5 500 000 euros</w:t>
            </w:r>
          </w:p>
        </w:tc>
      </w:tr>
      <w:tr w:rsidR="004C5489" w:rsidRPr="004C5489" w14:paraId="2BEEBB47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0641F8B4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5 500 000 euros et &lt; 5 750 000 euros</w:t>
            </w:r>
          </w:p>
        </w:tc>
      </w:tr>
      <w:tr w:rsidR="004C5489" w:rsidRPr="004C5489" w14:paraId="3012132D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00935AE1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5 750 000 euros et &lt; 6 000 000 euros</w:t>
            </w:r>
          </w:p>
        </w:tc>
      </w:tr>
      <w:tr w:rsidR="004C5489" w:rsidRPr="004C5489" w14:paraId="19CCB636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407669FC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6 000 000 euros et &lt; 6 250 000 euros</w:t>
            </w:r>
          </w:p>
        </w:tc>
      </w:tr>
      <w:tr w:rsidR="004C5489" w:rsidRPr="004C5489" w14:paraId="3A487C4F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5D7706B0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6 250 000 euros et &lt; 6 500 000 euros</w:t>
            </w:r>
          </w:p>
        </w:tc>
      </w:tr>
      <w:tr w:rsidR="004C5489" w:rsidRPr="004C5489" w14:paraId="65224929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09D5AB88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6 500 000 euros et &lt; 6 750 000 euros</w:t>
            </w:r>
          </w:p>
        </w:tc>
      </w:tr>
      <w:tr w:rsidR="004C5489" w:rsidRPr="004C5489" w14:paraId="73B89C44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6F5D920B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6 750 000 euros et &lt; 7 000 000 euros</w:t>
            </w:r>
          </w:p>
        </w:tc>
      </w:tr>
      <w:tr w:rsidR="004C5489" w:rsidRPr="004C5489" w14:paraId="6BD264F2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0C4FC8AE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7 000 000 euros et &lt; 7 250 000 euros</w:t>
            </w:r>
          </w:p>
        </w:tc>
      </w:tr>
      <w:tr w:rsidR="004C5489" w:rsidRPr="004C5489" w14:paraId="5F539F46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0177786D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7 250 000 euros et &lt; 7 500 000 euros</w:t>
            </w:r>
          </w:p>
        </w:tc>
      </w:tr>
      <w:tr w:rsidR="004C5489" w:rsidRPr="004C5489" w14:paraId="21FC29E2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26122AAE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7 500 000 euros et &lt; 7 750 000 euros</w:t>
            </w:r>
          </w:p>
        </w:tc>
      </w:tr>
      <w:tr w:rsidR="004C5489" w:rsidRPr="004C5489" w14:paraId="564A8CA0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61DF8051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7 750 000 euros et &lt; 8 000 000 euros</w:t>
            </w:r>
          </w:p>
        </w:tc>
      </w:tr>
      <w:tr w:rsidR="004C5489" w:rsidRPr="004C5489" w14:paraId="2CEAE6DA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0501B0DE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8 000 000 euros et &lt; 8 250 000 euros</w:t>
            </w:r>
          </w:p>
        </w:tc>
      </w:tr>
      <w:tr w:rsidR="004C5489" w:rsidRPr="004C5489" w14:paraId="04D765DD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4AA7077F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8 250 000 euros et &lt; 8 500 000 euros</w:t>
            </w:r>
          </w:p>
        </w:tc>
      </w:tr>
      <w:tr w:rsidR="004C5489" w:rsidRPr="004C5489" w14:paraId="72D2638C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566B70C7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8 500 000 euros et &lt; 8 750 000 euros</w:t>
            </w:r>
          </w:p>
        </w:tc>
      </w:tr>
      <w:tr w:rsidR="004C5489" w:rsidRPr="004C5489" w14:paraId="579CF0D2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0C41E939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8 750 000 euros et &lt; 9 000 000 euros</w:t>
            </w:r>
          </w:p>
        </w:tc>
      </w:tr>
      <w:tr w:rsidR="004C5489" w:rsidRPr="004C5489" w14:paraId="44DCE7E0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3ACF7C36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9 000 000 euros et &lt; 9 250 000 euros</w:t>
            </w:r>
          </w:p>
        </w:tc>
      </w:tr>
      <w:tr w:rsidR="004C5489" w:rsidRPr="004C5489" w14:paraId="628ACE39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69B8686B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9 250 000 euros et &lt; 9 500 000 euros</w:t>
            </w:r>
          </w:p>
        </w:tc>
      </w:tr>
      <w:tr w:rsidR="004C5489" w:rsidRPr="004C5489" w14:paraId="2EE703F3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02165C7E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9 500 000 euros et &lt; 9 750 000 euros</w:t>
            </w:r>
          </w:p>
        </w:tc>
      </w:tr>
      <w:tr w:rsidR="004C5489" w:rsidRPr="004C5489" w14:paraId="65C7C330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6F8F4144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9 750 000 euros et &lt; 10 000 000 euros</w:t>
            </w:r>
          </w:p>
        </w:tc>
      </w:tr>
      <w:tr w:rsidR="004C5489" w:rsidRPr="004C5489" w14:paraId="517C59AA" w14:textId="77777777" w:rsidTr="004C5489">
        <w:trPr>
          <w:trHeight w:val="290"/>
        </w:trPr>
        <w:tc>
          <w:tcPr>
            <w:tcW w:w="8560" w:type="dxa"/>
            <w:shd w:val="clear" w:color="auto" w:fill="auto"/>
            <w:noWrap/>
            <w:vAlign w:val="bottom"/>
            <w:hideMark/>
          </w:tcPr>
          <w:p w14:paraId="3B980173" w14:textId="77777777" w:rsidR="004C5489" w:rsidRPr="004C5489" w:rsidRDefault="004C5489" w:rsidP="004C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C548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&gt; = 10 000 000 euros</w:t>
            </w:r>
          </w:p>
        </w:tc>
      </w:tr>
    </w:tbl>
    <w:p w14:paraId="6731BA3A" w14:textId="2B62CB1E" w:rsidR="00CA5318" w:rsidRDefault="00CA5318" w:rsidP="00CA5318"/>
    <w:p w14:paraId="735AEC0A" w14:textId="45E98CDF" w:rsidR="004C5489" w:rsidRDefault="0035559C" w:rsidP="00212ECF">
      <w:pPr>
        <w:jc w:val="both"/>
      </w:pPr>
      <w:r>
        <w:t>Le calcul de moyennes et de sommes nécessitant des montants précis,</w:t>
      </w:r>
      <w:r w:rsidR="006A00F1">
        <w:t xml:space="preserve"> </w:t>
      </w:r>
      <w:proofErr w:type="spellStart"/>
      <w:r w:rsidR="006A00F1">
        <w:t>Transparency</w:t>
      </w:r>
      <w:proofErr w:type="spellEnd"/>
      <w:r w:rsidR="006A00F1">
        <w:t xml:space="preserve"> International France a formulé l’hypothèse que la répartition des dépenses </w:t>
      </w:r>
      <w:r w:rsidR="00FD6465">
        <w:t>exactes</w:t>
      </w:r>
      <w:r w:rsidR="006A00F1">
        <w:t xml:space="preserve"> de lobbying au sein de ces fourchette suivait une distribution </w:t>
      </w:r>
      <w:r w:rsidR="007512A0">
        <w:t>homogène</w:t>
      </w:r>
      <w:r w:rsidR="006A00F1">
        <w:t xml:space="preserve">. </w:t>
      </w:r>
      <w:r w:rsidR="00585EB6">
        <w:t xml:space="preserve">La valeur médiane entre les deux bornes de la fourchette a donc été attribuée </w:t>
      </w:r>
      <w:r w:rsidR="00077D7A">
        <w:t>pour chaque exercice déclaratif annuel. Par exemple, une organisation déclarant dépenser entre</w:t>
      </w:r>
      <w:r w:rsidR="00077D7A" w:rsidRPr="00077D7A">
        <w:t xml:space="preserve"> 10 000 euros et 2</w:t>
      </w:r>
      <w:r w:rsidR="00077D7A">
        <w:t>4</w:t>
      </w:r>
      <w:r w:rsidR="00077D7A" w:rsidRPr="00077D7A">
        <w:t xml:space="preserve"> </w:t>
      </w:r>
      <w:r w:rsidR="00077D7A">
        <w:t>999</w:t>
      </w:r>
      <w:r w:rsidR="00077D7A" w:rsidRPr="00077D7A">
        <w:t xml:space="preserve"> euros</w:t>
      </w:r>
      <w:r w:rsidR="00077D7A">
        <w:t xml:space="preserve"> </w:t>
      </w:r>
      <w:r w:rsidR="008C4D8D">
        <w:t xml:space="preserve">en dépenses de lobbying sur une année a été considérée comme dépensant </w:t>
      </w:r>
      <w:r w:rsidR="002E2E13">
        <w:t xml:space="preserve">17 500 euros. Pour la dernière fourchette des dépenses supérieures </w:t>
      </w:r>
      <w:r w:rsidR="00BA0996">
        <w:t xml:space="preserve">à </w:t>
      </w:r>
      <w:r w:rsidR="00BA0996">
        <w:lastRenderedPageBreak/>
        <w:t>10 000 000 d’euros annuels, sans borne supérieure, la dépense</w:t>
      </w:r>
      <w:r w:rsidR="007512A0">
        <w:t xml:space="preserve"> exacte</w:t>
      </w:r>
      <w:r w:rsidR="00BA0996">
        <w:t xml:space="preserve"> a été considérée comme égale à 10 000 000 d’euros.</w:t>
      </w:r>
    </w:p>
    <w:p w14:paraId="3E64D224" w14:textId="00E8A032" w:rsidR="00BA0996" w:rsidRDefault="00BA0996" w:rsidP="00212ECF">
      <w:pPr>
        <w:jc w:val="both"/>
      </w:pPr>
      <w:r>
        <w:t xml:space="preserve">Les déclarations du nombre de lobbyistes employés chaque année </w:t>
      </w:r>
      <w:r w:rsidR="00A91050">
        <w:t>devant être réalisée sur un montant précis d’équivalent temps plein, aucune estimation statistique n’a été nécessaire pour cette donné</w:t>
      </w:r>
      <w:r w:rsidR="00212ECF">
        <w:t>e</w:t>
      </w:r>
      <w:r w:rsidR="00A91050">
        <w:t>.</w:t>
      </w:r>
    </w:p>
    <w:p w14:paraId="7103ECF1" w14:textId="77777777" w:rsidR="004C5489" w:rsidRDefault="004C5489" w:rsidP="00CA5318"/>
    <w:sectPr w:rsidR="004C5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73A87"/>
    <w:multiLevelType w:val="hybridMultilevel"/>
    <w:tmpl w:val="37D69F30"/>
    <w:lvl w:ilvl="0" w:tplc="32BE205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8E5"/>
    <w:multiLevelType w:val="hybridMultilevel"/>
    <w:tmpl w:val="C7CA15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D4BC9"/>
    <w:multiLevelType w:val="hybridMultilevel"/>
    <w:tmpl w:val="C05E4C02"/>
    <w:lvl w:ilvl="0" w:tplc="A6A229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2178F"/>
    <w:multiLevelType w:val="hybridMultilevel"/>
    <w:tmpl w:val="1946FA22"/>
    <w:lvl w:ilvl="0" w:tplc="32BE205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31515">
    <w:abstractNumId w:val="2"/>
  </w:num>
  <w:num w:numId="2" w16cid:durableId="1421564168">
    <w:abstractNumId w:val="1"/>
  </w:num>
  <w:num w:numId="3" w16cid:durableId="428813118">
    <w:abstractNumId w:val="0"/>
  </w:num>
  <w:num w:numId="4" w16cid:durableId="1737781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2C"/>
    <w:rsid w:val="00017E54"/>
    <w:rsid w:val="00033198"/>
    <w:rsid w:val="00040A24"/>
    <w:rsid w:val="0006244B"/>
    <w:rsid w:val="00077D7A"/>
    <w:rsid w:val="000877BB"/>
    <w:rsid w:val="0009122B"/>
    <w:rsid w:val="000939CA"/>
    <w:rsid w:val="00097BE3"/>
    <w:rsid w:val="000C4692"/>
    <w:rsid w:val="000F01CB"/>
    <w:rsid w:val="001040EF"/>
    <w:rsid w:val="00145D14"/>
    <w:rsid w:val="00153683"/>
    <w:rsid w:val="00154400"/>
    <w:rsid w:val="001809D3"/>
    <w:rsid w:val="001B274E"/>
    <w:rsid w:val="001D0771"/>
    <w:rsid w:val="001E2F01"/>
    <w:rsid w:val="001F7DB0"/>
    <w:rsid w:val="00201434"/>
    <w:rsid w:val="00207CB0"/>
    <w:rsid w:val="00212ECF"/>
    <w:rsid w:val="002370B1"/>
    <w:rsid w:val="002666A2"/>
    <w:rsid w:val="00266C20"/>
    <w:rsid w:val="00270E8A"/>
    <w:rsid w:val="00293399"/>
    <w:rsid w:val="002A0C37"/>
    <w:rsid w:val="002E2E13"/>
    <w:rsid w:val="002E4C68"/>
    <w:rsid w:val="002F53C3"/>
    <w:rsid w:val="00343CBB"/>
    <w:rsid w:val="0035559C"/>
    <w:rsid w:val="00364F69"/>
    <w:rsid w:val="003A76B4"/>
    <w:rsid w:val="003B7D91"/>
    <w:rsid w:val="003F01CB"/>
    <w:rsid w:val="003F5978"/>
    <w:rsid w:val="00405C8B"/>
    <w:rsid w:val="004305E6"/>
    <w:rsid w:val="00450BE9"/>
    <w:rsid w:val="00460444"/>
    <w:rsid w:val="0049371D"/>
    <w:rsid w:val="004C5489"/>
    <w:rsid w:val="00537E93"/>
    <w:rsid w:val="005714F7"/>
    <w:rsid w:val="00585EB6"/>
    <w:rsid w:val="005C402C"/>
    <w:rsid w:val="0062153E"/>
    <w:rsid w:val="00630FAA"/>
    <w:rsid w:val="00674604"/>
    <w:rsid w:val="006932D0"/>
    <w:rsid w:val="006A00F1"/>
    <w:rsid w:val="006A690B"/>
    <w:rsid w:val="006D4CC1"/>
    <w:rsid w:val="007038BB"/>
    <w:rsid w:val="0072237B"/>
    <w:rsid w:val="0074497D"/>
    <w:rsid w:val="007512A0"/>
    <w:rsid w:val="0075216D"/>
    <w:rsid w:val="00772086"/>
    <w:rsid w:val="007842E3"/>
    <w:rsid w:val="00795BF2"/>
    <w:rsid w:val="0079658A"/>
    <w:rsid w:val="007A042C"/>
    <w:rsid w:val="007F24BB"/>
    <w:rsid w:val="0080220F"/>
    <w:rsid w:val="008160F7"/>
    <w:rsid w:val="008414A3"/>
    <w:rsid w:val="00851DDA"/>
    <w:rsid w:val="0085523B"/>
    <w:rsid w:val="008779C1"/>
    <w:rsid w:val="0088449F"/>
    <w:rsid w:val="008B79C3"/>
    <w:rsid w:val="008C180D"/>
    <w:rsid w:val="008C4D8D"/>
    <w:rsid w:val="008C5AC6"/>
    <w:rsid w:val="008F585F"/>
    <w:rsid w:val="009104B8"/>
    <w:rsid w:val="00931021"/>
    <w:rsid w:val="009312FA"/>
    <w:rsid w:val="00960437"/>
    <w:rsid w:val="00965DB9"/>
    <w:rsid w:val="00973035"/>
    <w:rsid w:val="0099756B"/>
    <w:rsid w:val="009C3F81"/>
    <w:rsid w:val="00A27851"/>
    <w:rsid w:val="00A477B6"/>
    <w:rsid w:val="00A91050"/>
    <w:rsid w:val="00AC4F4C"/>
    <w:rsid w:val="00B22518"/>
    <w:rsid w:val="00B96808"/>
    <w:rsid w:val="00BA0996"/>
    <w:rsid w:val="00BD13B4"/>
    <w:rsid w:val="00BF2B60"/>
    <w:rsid w:val="00C716B0"/>
    <w:rsid w:val="00C8093F"/>
    <w:rsid w:val="00C85F5F"/>
    <w:rsid w:val="00C86F5B"/>
    <w:rsid w:val="00CA5318"/>
    <w:rsid w:val="00CC738F"/>
    <w:rsid w:val="00D06AE7"/>
    <w:rsid w:val="00D12DB2"/>
    <w:rsid w:val="00D22FE4"/>
    <w:rsid w:val="00D44F33"/>
    <w:rsid w:val="00D765E0"/>
    <w:rsid w:val="00DA0D3A"/>
    <w:rsid w:val="00DB770D"/>
    <w:rsid w:val="00DD43DC"/>
    <w:rsid w:val="00DE3F48"/>
    <w:rsid w:val="00E213B8"/>
    <w:rsid w:val="00E266EC"/>
    <w:rsid w:val="00E63D07"/>
    <w:rsid w:val="00E75E74"/>
    <w:rsid w:val="00E83C46"/>
    <w:rsid w:val="00EA63FE"/>
    <w:rsid w:val="00EF28BA"/>
    <w:rsid w:val="00EF7F6D"/>
    <w:rsid w:val="00F61353"/>
    <w:rsid w:val="00F660C4"/>
    <w:rsid w:val="00FA04D4"/>
    <w:rsid w:val="00FD6465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68A3"/>
  <w15:chartTrackingRefBased/>
  <w15:docId w15:val="{278F7EF0-CCDD-4CE5-B176-EC7A9E88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0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0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0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0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0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0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0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0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0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0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0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0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04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04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04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04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04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04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0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0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0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0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0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04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04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A04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0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04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042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D4CC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4CC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7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tvp.fr/le-repertoire/" TargetMode="External"/><Relationship Id="rId13" Type="http://schemas.openxmlformats.org/officeDocument/2006/relationships/hyperlink" Target="https://www.legifrance.gouv.fr/jorf/id/JORFTEXT00003518564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gifrance.gouv.fr/loda/id/JORFTEXT00003463329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hatvp.fr/wordpress/wp-content/uploads/2023/09/Lignes-directrices_nouvelles-version_entree-en-vigueur-au-01102023_VF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523AF85F836448AC9FC4A9A37EC6C" ma:contentTypeVersion="22" ma:contentTypeDescription="Create a new document." ma:contentTypeScope="" ma:versionID="f92276f8d9f8b0bd3ebb735bad6c9755">
  <xsd:schema xmlns:xsd="http://www.w3.org/2001/XMLSchema" xmlns:xs="http://www.w3.org/2001/XMLSchema" xmlns:p="http://schemas.microsoft.com/office/2006/metadata/properties" xmlns:ns1="http://schemas.microsoft.com/sharepoint/v3" xmlns:ns2="5e66408e-7cb2-40b5-9ee7-0dd8435032cb" xmlns:ns3="83e95a3d-d3e3-4ab9-adc5-9b5c6d140667" targetNamespace="http://schemas.microsoft.com/office/2006/metadata/properties" ma:root="true" ma:fieldsID="215cfe83fc4017a3bb3f28c3cea83c02" ns1:_="" ns2:_="" ns3:_="">
    <xsd:import namespace="http://schemas.microsoft.com/sharepoint/v3"/>
    <xsd:import namespace="5e66408e-7cb2-40b5-9ee7-0dd8435032cb"/>
    <xsd:import namespace="83e95a3d-d3e3-4ab9-adc5-9b5c6d140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6408e-7cb2-40b5-9ee7-0dd843503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d85dcc-d5fa-408e-a42f-cb9890605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95a3d-d3e3-4ab9-adc5-9b5c6d140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d8ee29-17e3-42c8-9049-bc3ed43d493c}" ma:internalName="TaxCatchAll" ma:showField="CatchAllData" ma:web="83e95a3d-d3e3-4ab9-adc5-9b5c6d140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66408e-7cb2-40b5-9ee7-0dd8435032cb" xsi:nil="true"/>
    <lcf76f155ced4ddcb4097134ff3c332f xmlns="5e66408e-7cb2-40b5-9ee7-0dd8435032cb">
      <Terms xmlns="http://schemas.microsoft.com/office/infopath/2007/PartnerControls"/>
    </lcf76f155ced4ddcb4097134ff3c332f>
    <TaxCatchAll xmlns="83e95a3d-d3e3-4ab9-adc5-9b5c6d14066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82E6DE-45B0-478B-86EC-538A7126D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4CE49-60EE-49E1-953C-98ADE7C119BD}"/>
</file>

<file path=customXml/itemProps3.xml><?xml version="1.0" encoding="utf-8"?>
<ds:datastoreItem xmlns:ds="http://schemas.openxmlformats.org/officeDocument/2006/customXml" ds:itemID="{5609F86E-E0A7-4F01-82EA-EE0786D733A9}">
  <ds:schemaRefs>
    <ds:schemaRef ds:uri="http://schemas.microsoft.com/office/2006/metadata/properties"/>
    <ds:schemaRef ds:uri="http://schemas.microsoft.com/office/infopath/2007/PartnerControls"/>
    <ds:schemaRef ds:uri="5e66408e-7cb2-40b5-9ee7-0dd8435032cb"/>
    <ds:schemaRef ds:uri="83e95a3d-d3e3-4ab9-adc5-9b5c6d14066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Gernier (TI FR)</dc:creator>
  <cp:keywords/>
  <dc:description/>
  <cp:lastModifiedBy>Kevin Gernier (TI FR)</cp:lastModifiedBy>
  <cp:revision>116</cp:revision>
  <dcterms:created xsi:type="dcterms:W3CDTF">2024-06-11T14:45:00Z</dcterms:created>
  <dcterms:modified xsi:type="dcterms:W3CDTF">2025-06-13T15:51:00Z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0x010100B88523AF85F836448AC9FC4A9A37EC6C</vt:lpwstr>
  </property>
  <property fmtid="{D5CDD505-2E9C-101B-9397-08002B2CF9AE}" pid="3" name="MediaServiceImageTags">
    <vt:lpwstr/>
  </property>
</Properties>
</file>