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A8DA" w14:textId="77777777" w:rsidR="0048365A" w:rsidRPr="00107548" w:rsidRDefault="0048365A" w:rsidP="0048365A">
      <w:pPr>
        <w:spacing w:after="0" w:line="240" w:lineRule="auto"/>
        <w:rPr>
          <w:rFonts w:eastAsia="Calibri" w:cs="Times New Roman"/>
          <w:b/>
          <w:i/>
        </w:rPr>
      </w:pPr>
      <w:r w:rsidRPr="00107548">
        <w:rPr>
          <w:rFonts w:eastAsia="Calibri" w:cs="Times New Roman"/>
          <w:b/>
          <w:i/>
        </w:rPr>
        <w:t>Le président</w:t>
      </w:r>
    </w:p>
    <w:p w14:paraId="73127DF1" w14:textId="77777777" w:rsidR="0048365A" w:rsidRDefault="0048365A" w:rsidP="0048365A">
      <w:pPr>
        <w:pStyle w:val="Sansinterligne"/>
        <w:jc w:val="both"/>
      </w:pPr>
    </w:p>
    <w:p w14:paraId="5455D47A" w14:textId="1F993332" w:rsidR="006F0FFC" w:rsidRDefault="0048365A" w:rsidP="0048365A">
      <w:pPr>
        <w:pStyle w:val="Sansinterligne"/>
        <w:spacing w:line="240" w:lineRule="auto"/>
        <w:ind w:left="4956" w:firstLine="708"/>
        <w:jc w:val="both"/>
      </w:pPr>
      <w:r>
        <w:t>M</w:t>
      </w:r>
      <w:r w:rsidR="006F0FFC">
        <w:t xml:space="preserve">onsieur </w:t>
      </w:r>
      <w:r>
        <w:t xml:space="preserve">Jérémie </w:t>
      </w:r>
      <w:r w:rsidR="006F0FFC">
        <w:t xml:space="preserve">Iordanoff </w:t>
      </w:r>
    </w:p>
    <w:p w14:paraId="7BC53AB0" w14:textId="1B84D4F2" w:rsidR="006F0FFC" w:rsidRDefault="006F0FFC" w:rsidP="0048365A">
      <w:pPr>
        <w:pStyle w:val="Sansinterligne"/>
        <w:spacing w:line="240" w:lineRule="auto"/>
        <w:ind w:left="4956" w:firstLine="708"/>
        <w:jc w:val="both"/>
      </w:pPr>
      <w:r>
        <w:t>Député</w:t>
      </w:r>
    </w:p>
    <w:p w14:paraId="3D7D80D5" w14:textId="40C33F6A" w:rsidR="003353A5" w:rsidRDefault="003353A5" w:rsidP="0048365A">
      <w:pPr>
        <w:pStyle w:val="Sansinterligne"/>
        <w:spacing w:line="240" w:lineRule="auto"/>
        <w:ind w:left="4956" w:firstLine="708"/>
        <w:jc w:val="both"/>
      </w:pPr>
      <w:r>
        <w:t>Assemblée nationale</w:t>
      </w:r>
    </w:p>
    <w:p w14:paraId="58696121" w14:textId="14714921" w:rsidR="006F0FFC" w:rsidRDefault="003353A5" w:rsidP="0048365A">
      <w:pPr>
        <w:pStyle w:val="Sansinterligne"/>
        <w:spacing w:line="240" w:lineRule="auto"/>
        <w:ind w:left="4956" w:firstLine="708"/>
        <w:jc w:val="both"/>
      </w:pPr>
      <w:r>
        <w:t>101 rue de l’Université</w:t>
      </w:r>
    </w:p>
    <w:p w14:paraId="5DC01E1B" w14:textId="07BEE493" w:rsidR="006F0FFC" w:rsidRDefault="006F0FFC" w:rsidP="0048365A">
      <w:pPr>
        <w:pStyle w:val="Sansinterligne"/>
        <w:spacing w:line="240" w:lineRule="auto"/>
        <w:jc w:val="both"/>
      </w:pPr>
      <w:r w:rsidRPr="57A0AEF5">
        <w:t xml:space="preserve"> </w:t>
      </w:r>
      <w:r>
        <w:tab/>
      </w:r>
      <w:r>
        <w:tab/>
      </w:r>
      <w:r>
        <w:tab/>
      </w:r>
      <w:r>
        <w:tab/>
      </w:r>
      <w:r>
        <w:tab/>
      </w:r>
      <w:r>
        <w:tab/>
      </w:r>
      <w:r>
        <w:tab/>
      </w:r>
      <w:r>
        <w:tab/>
      </w:r>
      <w:r w:rsidR="003353A5">
        <w:t>Paris 75 007</w:t>
      </w:r>
    </w:p>
    <w:p w14:paraId="2E4FD9F6" w14:textId="77777777" w:rsidR="006F0FFC" w:rsidRDefault="006F0FFC" w:rsidP="006F0FFC">
      <w:pPr>
        <w:jc w:val="both"/>
      </w:pPr>
    </w:p>
    <w:p w14:paraId="48697846" w14:textId="77777777" w:rsidR="006F0FFC" w:rsidRDefault="006F0FFC" w:rsidP="006F0FFC">
      <w:pPr>
        <w:jc w:val="both"/>
      </w:pPr>
    </w:p>
    <w:p w14:paraId="11380154" w14:textId="4396C16A" w:rsidR="006F0FFC" w:rsidRDefault="0048365A" w:rsidP="0048365A">
      <w:pPr>
        <w:jc w:val="right"/>
      </w:pPr>
      <w:r>
        <w:t xml:space="preserve">A </w:t>
      </w:r>
      <w:r w:rsidR="006F0FFC">
        <w:t xml:space="preserve">Paris le </w:t>
      </w:r>
      <w:r>
        <w:t>7 mai 2026</w:t>
      </w:r>
    </w:p>
    <w:p w14:paraId="17132893" w14:textId="77777777" w:rsidR="0048365A" w:rsidRDefault="0048365A" w:rsidP="006F0FFC">
      <w:pPr>
        <w:jc w:val="both"/>
      </w:pPr>
    </w:p>
    <w:p w14:paraId="2C97BC92" w14:textId="0986E530" w:rsidR="006F0FFC" w:rsidRDefault="006F0FFC" w:rsidP="006F0FFC">
      <w:pPr>
        <w:jc w:val="both"/>
      </w:pPr>
      <w:r>
        <w:t>Monsieur le Député,</w:t>
      </w:r>
    </w:p>
    <w:p w14:paraId="542A0AB3" w14:textId="78A22A57" w:rsidR="006F0FFC" w:rsidRDefault="006F0FFC" w:rsidP="006F0FFC">
      <w:pPr>
        <w:spacing w:after="322"/>
        <w:jc w:val="both"/>
      </w:pPr>
      <w:r>
        <w:t xml:space="preserve">Je vous écris afin de porter à votre attention un signalement de Transparency International France visant </w:t>
      </w:r>
      <w:r w:rsidR="003353A5">
        <w:t>le groupe d’entreprises TotalEnergies</w:t>
      </w:r>
      <w:r>
        <w:t xml:space="preserve">, pour </w:t>
      </w:r>
      <w:r w:rsidR="0048365A">
        <w:t xml:space="preserve">une </w:t>
      </w:r>
      <w:r>
        <w:t xml:space="preserve">potentielle violation de </w:t>
      </w:r>
      <w:r w:rsidR="005D3AF2">
        <w:t>l’</w:t>
      </w:r>
      <w:r>
        <w:t>obligation déontologique de sincérité</w:t>
      </w:r>
      <w:r w:rsidR="005D3AF2">
        <w:t xml:space="preserve"> qui lui incombe dans le cadre de ses activités de représentation d’intérêts</w:t>
      </w:r>
      <w:r>
        <w:t xml:space="preserve">. Nous vous proposons de </w:t>
      </w:r>
      <w:r w:rsidR="005D3AF2">
        <w:t>saisir le</w:t>
      </w:r>
      <w:r>
        <w:t xml:space="preserve"> déontologue de l’Assemblée nationale</w:t>
      </w:r>
      <w:r w:rsidR="005D3AF2">
        <w:t xml:space="preserve"> de ce signalement, </w:t>
      </w:r>
      <w:r w:rsidR="008C3C9F">
        <w:t xml:space="preserve">car seuls les membres de l’Assemblée nationale </w:t>
      </w:r>
      <w:r w:rsidR="003353A5">
        <w:t>peuvent saisir ce dernier</w:t>
      </w:r>
      <w:r w:rsidR="003353A5">
        <w:rPr>
          <w:rStyle w:val="Appelnotedebasdep"/>
        </w:rPr>
        <w:footnoteReference w:id="1"/>
      </w:r>
      <w:r w:rsidR="003353A5">
        <w:t>.</w:t>
      </w:r>
    </w:p>
    <w:p w14:paraId="35D549B0" w14:textId="003F3290" w:rsidR="00976F84" w:rsidRDefault="006F0FFC" w:rsidP="00976F84">
      <w:pPr>
        <w:spacing w:after="322"/>
        <w:jc w:val="both"/>
        <w:rPr>
          <w:rFonts w:ascii="Aptos" w:eastAsia="Aptos" w:hAnsi="Aptos" w:cs="Aptos"/>
        </w:rPr>
      </w:pPr>
      <w:r w:rsidRPr="57A0AEF5">
        <w:rPr>
          <w:rFonts w:ascii="Aptos" w:eastAsia="Aptos" w:hAnsi="Aptos" w:cs="Aptos"/>
        </w:rPr>
        <w:t xml:space="preserve">Notre signalement se fonde sur </w:t>
      </w:r>
      <w:r w:rsidR="008C3C9F">
        <w:rPr>
          <w:rFonts w:ascii="Aptos" w:eastAsia="Aptos" w:hAnsi="Aptos" w:cs="Aptos"/>
        </w:rPr>
        <w:t>le compte-rendu</w:t>
      </w:r>
      <w:r w:rsidR="001A783C">
        <w:rPr>
          <w:rStyle w:val="Appelnotedebasdep"/>
          <w:rFonts w:ascii="Aptos" w:eastAsia="Aptos" w:hAnsi="Aptos" w:cs="Aptos"/>
        </w:rPr>
        <w:footnoteReference w:id="2"/>
      </w:r>
      <w:r w:rsidR="008C3C9F">
        <w:rPr>
          <w:rFonts w:ascii="Aptos" w:eastAsia="Aptos" w:hAnsi="Aptos" w:cs="Aptos"/>
        </w:rPr>
        <w:t xml:space="preserve"> d’une audition</w:t>
      </w:r>
      <w:r w:rsidR="00976F84">
        <w:rPr>
          <w:rFonts w:ascii="Aptos" w:eastAsia="Aptos" w:hAnsi="Aptos" w:cs="Aptos"/>
        </w:rPr>
        <w:t xml:space="preserve"> de</w:t>
      </w:r>
      <w:r w:rsidRPr="57A0AEF5">
        <w:rPr>
          <w:rFonts w:ascii="Aptos" w:eastAsia="Aptos" w:hAnsi="Aptos" w:cs="Aptos"/>
        </w:rPr>
        <w:t xml:space="preserve"> </w:t>
      </w:r>
      <w:r w:rsidR="00976F84" w:rsidRPr="00976F84">
        <w:rPr>
          <w:rFonts w:ascii="Aptos" w:eastAsia="Aptos" w:hAnsi="Aptos" w:cs="Aptos"/>
        </w:rPr>
        <w:t xml:space="preserve">Guillaume Laroque, président de TotalEnergies Marketing </w:t>
      </w:r>
      <w:r w:rsidR="00976F84">
        <w:rPr>
          <w:rFonts w:ascii="Aptos" w:eastAsia="Aptos" w:hAnsi="Aptos" w:cs="Aptos"/>
        </w:rPr>
        <w:t>France, lors d’une audition le 15 septembre 2021 par la m</w:t>
      </w:r>
      <w:r w:rsidR="00976F84" w:rsidRPr="00976F84">
        <w:rPr>
          <w:rFonts w:ascii="Aptos" w:eastAsia="Aptos" w:hAnsi="Aptos" w:cs="Aptos"/>
        </w:rPr>
        <w:t>ission d'information</w:t>
      </w:r>
      <w:r w:rsidR="00976F84">
        <w:rPr>
          <w:rFonts w:ascii="Aptos" w:eastAsia="Aptos" w:hAnsi="Aptos" w:cs="Aptos"/>
        </w:rPr>
        <w:t xml:space="preserve"> </w:t>
      </w:r>
      <w:r w:rsidR="00976F84" w:rsidRPr="00976F84">
        <w:rPr>
          <w:rFonts w:ascii="Aptos" w:eastAsia="Aptos" w:hAnsi="Aptos" w:cs="Aptos"/>
        </w:rPr>
        <w:t>de la conférence des présidents</w:t>
      </w:r>
      <w:r w:rsidR="00976F84">
        <w:rPr>
          <w:rFonts w:ascii="Aptos" w:eastAsia="Aptos" w:hAnsi="Aptos" w:cs="Aptos"/>
        </w:rPr>
        <w:t xml:space="preserve"> </w:t>
      </w:r>
      <w:r w:rsidR="00976F84" w:rsidRPr="00976F84">
        <w:rPr>
          <w:rFonts w:ascii="Aptos" w:eastAsia="Aptos" w:hAnsi="Aptos" w:cs="Aptos"/>
        </w:rPr>
        <w:t>sur la résilience nationale</w:t>
      </w:r>
      <w:r w:rsidR="00976F84">
        <w:rPr>
          <w:rFonts w:ascii="Aptos" w:eastAsia="Aptos" w:hAnsi="Aptos" w:cs="Aptos"/>
        </w:rPr>
        <w:t xml:space="preserve">. Celui-ci était alors </w:t>
      </w:r>
      <w:r w:rsidR="003353A5">
        <w:rPr>
          <w:rFonts w:ascii="Aptos" w:eastAsia="Aptos" w:hAnsi="Aptos" w:cs="Aptos"/>
        </w:rPr>
        <w:t xml:space="preserve">déjà </w:t>
      </w:r>
      <w:r w:rsidR="00976F84">
        <w:rPr>
          <w:rFonts w:ascii="Aptos" w:eastAsia="Aptos" w:hAnsi="Aptos" w:cs="Aptos"/>
        </w:rPr>
        <w:t>déclaré comme personne chargée de la représentation d’intérêts de TotalEnergies Marketing France au répertoire des représentants d’intérêts de la HATVP</w:t>
      </w:r>
      <w:r w:rsidR="00976F84">
        <w:rPr>
          <w:rStyle w:val="Appelnotedebasdep"/>
          <w:rFonts w:ascii="Aptos" w:eastAsia="Aptos" w:hAnsi="Aptos" w:cs="Aptos"/>
        </w:rPr>
        <w:footnoteReference w:id="3"/>
      </w:r>
      <w:r w:rsidR="00976F84">
        <w:rPr>
          <w:rFonts w:ascii="Aptos" w:eastAsia="Aptos" w:hAnsi="Aptos" w:cs="Aptos"/>
        </w:rPr>
        <w:t xml:space="preserve">. Lors de cette audition, </w:t>
      </w:r>
      <w:r w:rsidR="00F05B6E">
        <w:rPr>
          <w:rFonts w:ascii="Aptos" w:eastAsia="Aptos" w:hAnsi="Aptos" w:cs="Aptos"/>
        </w:rPr>
        <w:t>ce dernier</w:t>
      </w:r>
      <w:r w:rsidR="00976F84">
        <w:rPr>
          <w:rFonts w:ascii="Aptos" w:eastAsia="Aptos" w:hAnsi="Aptos" w:cs="Aptos"/>
        </w:rPr>
        <w:t xml:space="preserve"> a utilisé des formules qui nous semblent </w:t>
      </w:r>
      <w:r w:rsidR="00976F84" w:rsidRPr="57A0AEF5">
        <w:rPr>
          <w:rFonts w:ascii="Aptos" w:eastAsia="Aptos" w:hAnsi="Aptos" w:cs="Aptos"/>
        </w:rPr>
        <w:t>potentiellement contradictoires avec l’obligation déontologique</w:t>
      </w:r>
      <w:r w:rsidR="00976F84" w:rsidRPr="57A0AEF5">
        <w:rPr>
          <w:rStyle w:val="Appelnotedebasdep"/>
          <w:rFonts w:ascii="Aptos" w:eastAsia="Aptos" w:hAnsi="Aptos" w:cs="Aptos"/>
        </w:rPr>
        <w:footnoteReference w:id="4"/>
      </w:r>
      <w:r w:rsidR="00976F84" w:rsidRPr="57A0AEF5">
        <w:rPr>
          <w:rFonts w:ascii="Aptos" w:eastAsia="Aptos" w:hAnsi="Aptos" w:cs="Aptos"/>
        </w:rPr>
        <w:t xml:space="preserve"> imposée aux représentants d’intérêts de :</w:t>
      </w:r>
      <w:r w:rsidR="00976F84">
        <w:rPr>
          <w:rFonts w:ascii="Aptos" w:eastAsia="Aptos" w:hAnsi="Aptos" w:cs="Aptos"/>
        </w:rPr>
        <w:t xml:space="preserve"> </w:t>
      </w:r>
      <w:r w:rsidR="00976F84" w:rsidRPr="57A0AEF5">
        <w:rPr>
          <w:rFonts w:ascii="Aptos" w:eastAsia="Aptos" w:hAnsi="Aptos" w:cs="Aptos"/>
        </w:rPr>
        <w:t>“</w:t>
      </w:r>
      <w:r w:rsidR="00976F84" w:rsidRPr="57A0AEF5">
        <w:rPr>
          <w:rFonts w:ascii="Aptos" w:eastAsia="Aptos" w:hAnsi="Aptos" w:cs="Aptos"/>
          <w:i/>
          <w:iCs/>
        </w:rPr>
        <w:t>S'abstenir d'obtenir ou d'essayer d'obtenir des informations ou décisions en communiquant délibérément à ces personnes des informations erronées ou en recourant à des manœuvres destinées à les tromper</w:t>
      </w:r>
      <w:r w:rsidR="00976F84" w:rsidRPr="57A0AEF5">
        <w:rPr>
          <w:rFonts w:ascii="Aptos" w:eastAsia="Aptos" w:hAnsi="Aptos" w:cs="Aptos"/>
        </w:rPr>
        <w:t>”</w:t>
      </w:r>
      <w:r w:rsidR="0048365A">
        <w:rPr>
          <w:rFonts w:ascii="Aptos" w:eastAsia="Aptos" w:hAnsi="Aptos" w:cs="Aptos"/>
        </w:rPr>
        <w:t>.</w:t>
      </w:r>
    </w:p>
    <w:p w14:paraId="70CE28F5" w14:textId="6E26DE3F" w:rsidR="006F0FFC" w:rsidRDefault="006F0FFC" w:rsidP="006F0FFC">
      <w:pPr>
        <w:spacing w:after="322"/>
        <w:jc w:val="both"/>
        <w:rPr>
          <w:rFonts w:ascii="Aptos" w:eastAsia="Aptos" w:hAnsi="Aptos" w:cs="Aptos"/>
        </w:rPr>
      </w:pPr>
      <w:r w:rsidRPr="57A0AEF5">
        <w:rPr>
          <w:rFonts w:ascii="Aptos" w:eastAsia="Aptos" w:hAnsi="Aptos" w:cs="Aptos"/>
        </w:rPr>
        <w:lastRenderedPageBreak/>
        <w:t xml:space="preserve">Plus précisément, cette violation nous semble </w:t>
      </w:r>
      <w:r w:rsidR="0048365A">
        <w:rPr>
          <w:rFonts w:ascii="Aptos" w:eastAsia="Aptos" w:hAnsi="Aptos" w:cs="Aptos"/>
        </w:rPr>
        <w:t>résulter de</w:t>
      </w:r>
      <w:r w:rsidRPr="57A0AEF5">
        <w:rPr>
          <w:rFonts w:ascii="Aptos" w:eastAsia="Aptos" w:hAnsi="Aptos" w:cs="Aptos"/>
        </w:rPr>
        <w:t xml:space="preserve"> l’usage des formules suivantes :</w:t>
      </w:r>
    </w:p>
    <w:p w14:paraId="6ECEBF79" w14:textId="089F72FC" w:rsidR="00C35BCD" w:rsidRDefault="00C35BCD" w:rsidP="006F0FFC">
      <w:pPr>
        <w:spacing w:after="322"/>
        <w:jc w:val="both"/>
        <w:rPr>
          <w:rFonts w:ascii="Aptos" w:eastAsia="Aptos" w:hAnsi="Aptos" w:cs="Aptos"/>
        </w:rPr>
      </w:pPr>
      <w:r>
        <w:rPr>
          <w:rFonts w:ascii="Aptos" w:eastAsia="Aptos" w:hAnsi="Aptos" w:cs="Aptos"/>
        </w:rPr>
        <w:t>(Page 4 du compte-rendu) :</w:t>
      </w:r>
    </w:p>
    <w:p w14:paraId="550D34BA" w14:textId="4DE177FE" w:rsidR="00976F84" w:rsidRPr="00C35BCD" w:rsidRDefault="00976F84" w:rsidP="00C35BCD">
      <w:pPr>
        <w:pStyle w:val="Paragraphedeliste"/>
        <w:numPr>
          <w:ilvl w:val="0"/>
          <w:numId w:val="2"/>
        </w:numPr>
        <w:spacing w:after="322"/>
        <w:jc w:val="both"/>
        <w:rPr>
          <w:rFonts w:ascii="Aptos" w:eastAsia="Aptos" w:hAnsi="Aptos" w:cs="Aptos"/>
        </w:rPr>
      </w:pPr>
      <w:r>
        <w:rPr>
          <w:rFonts w:ascii="Aptos" w:eastAsia="Aptos" w:hAnsi="Aptos" w:cs="Aptos"/>
        </w:rPr>
        <w:t>« </w:t>
      </w:r>
      <w:r w:rsidRPr="00976F84">
        <w:rPr>
          <w:rFonts w:ascii="Aptos" w:eastAsia="Aptos" w:hAnsi="Aptos" w:cs="Aptos"/>
          <w:i/>
          <w:iCs/>
        </w:rPr>
        <w:t xml:space="preserve">Nous nous sommes donc fixé des objectifs très clairs pour </w:t>
      </w:r>
      <w:r w:rsidRPr="00F05B6E">
        <w:rPr>
          <w:rFonts w:ascii="Aptos" w:eastAsia="Aptos" w:hAnsi="Aptos" w:cs="Aptos"/>
          <w:i/>
          <w:iCs/>
          <w:u w:val="single"/>
        </w:rPr>
        <w:t>devenir un des acteurs majeurs de la transition énergétique</w:t>
      </w:r>
      <w:r w:rsidRPr="00F05B6E">
        <w:rPr>
          <w:rFonts w:ascii="Aptos" w:eastAsia="Aptos" w:hAnsi="Aptos" w:cs="Aptos"/>
          <w:i/>
          <w:iCs/>
        </w:rPr>
        <w:t>.</w:t>
      </w:r>
      <w:r>
        <w:rPr>
          <w:rFonts w:ascii="Aptos" w:eastAsia="Aptos" w:hAnsi="Aptos" w:cs="Aptos"/>
          <w:i/>
          <w:iCs/>
        </w:rPr>
        <w:t xml:space="preserve"> </w:t>
      </w:r>
      <w:r w:rsidRPr="00976F84">
        <w:rPr>
          <w:rFonts w:ascii="Aptos" w:eastAsia="Aptos" w:hAnsi="Aptos" w:cs="Aptos"/>
          <w:i/>
          <w:iCs/>
        </w:rPr>
        <w:t xml:space="preserve">D’une part, </w:t>
      </w:r>
      <w:r w:rsidRPr="00F05B6E">
        <w:rPr>
          <w:rFonts w:ascii="Aptos" w:eastAsia="Aptos" w:hAnsi="Aptos" w:cs="Aptos"/>
          <w:i/>
          <w:iCs/>
          <w:u w:val="single"/>
        </w:rPr>
        <w:t>atteindre la neutralité carbone</w:t>
      </w:r>
      <w:r w:rsidRPr="00976F84">
        <w:rPr>
          <w:rFonts w:ascii="Aptos" w:eastAsia="Aptos" w:hAnsi="Aptos" w:cs="Aptos"/>
          <w:i/>
          <w:iCs/>
        </w:rPr>
        <w:t xml:space="preserve"> pour nos activités opérées au niveau</w:t>
      </w:r>
      <w:r>
        <w:rPr>
          <w:rFonts w:ascii="Aptos" w:eastAsia="Aptos" w:hAnsi="Aptos" w:cs="Aptos"/>
          <w:i/>
          <w:iCs/>
        </w:rPr>
        <w:t xml:space="preserve"> </w:t>
      </w:r>
      <w:r w:rsidRPr="00976F84">
        <w:rPr>
          <w:rFonts w:ascii="Aptos" w:eastAsia="Aptos" w:hAnsi="Aptos" w:cs="Aptos"/>
          <w:i/>
          <w:iCs/>
        </w:rPr>
        <w:t xml:space="preserve">mondial </w:t>
      </w:r>
      <w:r w:rsidRPr="00F05B6E">
        <w:rPr>
          <w:rFonts w:ascii="Aptos" w:eastAsia="Aptos" w:hAnsi="Aptos" w:cs="Aptos"/>
          <w:i/>
          <w:iCs/>
          <w:u w:val="single"/>
        </w:rPr>
        <w:t>dès 2050</w:t>
      </w:r>
      <w:r w:rsidRPr="00976F84">
        <w:rPr>
          <w:rFonts w:ascii="Aptos" w:eastAsia="Aptos" w:hAnsi="Aptos" w:cs="Aptos"/>
          <w:i/>
          <w:iCs/>
        </w:rPr>
        <w:t>, voire avant.</w:t>
      </w:r>
      <w:r w:rsidRPr="00976F84">
        <w:rPr>
          <w:rFonts w:ascii="Aptos" w:eastAsia="Aptos" w:hAnsi="Aptos" w:cs="Aptos"/>
        </w:rPr>
        <w:t> »</w:t>
      </w:r>
      <w:r w:rsidR="00C35BCD">
        <w:rPr>
          <w:rFonts w:ascii="Aptos" w:eastAsia="Aptos" w:hAnsi="Aptos" w:cs="Aptos"/>
        </w:rPr>
        <w:t xml:space="preserve"> </w:t>
      </w:r>
    </w:p>
    <w:p w14:paraId="5286873E" w14:textId="0020B9AB" w:rsidR="00C35BCD" w:rsidRPr="00C35BCD" w:rsidRDefault="00C35BCD" w:rsidP="00C35BCD">
      <w:pPr>
        <w:pStyle w:val="Paragraphedeliste"/>
        <w:numPr>
          <w:ilvl w:val="0"/>
          <w:numId w:val="2"/>
        </w:numPr>
        <w:spacing w:after="322"/>
        <w:jc w:val="both"/>
        <w:rPr>
          <w:rFonts w:ascii="Aptos" w:eastAsia="Aptos" w:hAnsi="Aptos" w:cs="Aptos"/>
        </w:rPr>
      </w:pPr>
      <w:r>
        <w:rPr>
          <w:rFonts w:ascii="Aptos" w:eastAsia="Aptos" w:hAnsi="Aptos" w:cs="Aptos"/>
          <w:i/>
          <w:iCs/>
        </w:rPr>
        <w:t>« </w:t>
      </w:r>
      <w:r w:rsidRPr="00C35BCD">
        <w:rPr>
          <w:rFonts w:ascii="Aptos" w:eastAsia="Aptos" w:hAnsi="Aptos" w:cs="Aptos"/>
          <w:i/>
          <w:iCs/>
        </w:rPr>
        <w:t xml:space="preserve">Le deuxième axe d’action a pour objet </w:t>
      </w:r>
      <w:r w:rsidRPr="00F05B6E">
        <w:rPr>
          <w:rFonts w:ascii="Aptos" w:eastAsia="Aptos" w:hAnsi="Aptos" w:cs="Aptos"/>
          <w:i/>
          <w:iCs/>
          <w:u w:val="single"/>
        </w:rPr>
        <w:t>l’atteinte de la neutralité carbone</w:t>
      </w:r>
      <w:r w:rsidRPr="00C35BCD">
        <w:rPr>
          <w:rFonts w:ascii="Aptos" w:eastAsia="Aptos" w:hAnsi="Aptos" w:cs="Aptos"/>
          <w:i/>
          <w:iCs/>
        </w:rPr>
        <w:t xml:space="preserve"> au niveau</w:t>
      </w:r>
      <w:r>
        <w:rPr>
          <w:rFonts w:ascii="Aptos" w:eastAsia="Aptos" w:hAnsi="Aptos" w:cs="Aptos"/>
          <w:i/>
          <w:iCs/>
        </w:rPr>
        <w:t xml:space="preserve"> </w:t>
      </w:r>
      <w:r w:rsidRPr="00C35BCD">
        <w:rPr>
          <w:rFonts w:ascii="Aptos" w:eastAsia="Aptos" w:hAnsi="Aptos" w:cs="Aptos"/>
          <w:i/>
          <w:iCs/>
        </w:rPr>
        <w:t>mondial pour les émissions indirectes</w:t>
      </w:r>
      <w:r>
        <w:rPr>
          <w:rFonts w:ascii="Aptos" w:eastAsia="Aptos" w:hAnsi="Aptos" w:cs="Aptos"/>
          <w:i/>
          <w:iCs/>
        </w:rPr>
        <w:t> »</w:t>
      </w:r>
      <w:r w:rsidRPr="00C35BCD">
        <w:rPr>
          <w:rFonts w:ascii="Aptos" w:eastAsia="Aptos" w:hAnsi="Aptos" w:cs="Aptos"/>
        </w:rPr>
        <w:t xml:space="preserve"> </w:t>
      </w:r>
    </w:p>
    <w:p w14:paraId="57B23038" w14:textId="50DD405C" w:rsidR="00976F84" w:rsidRDefault="00C35BCD" w:rsidP="00C35BCD">
      <w:pPr>
        <w:pStyle w:val="Paragraphedeliste"/>
        <w:numPr>
          <w:ilvl w:val="0"/>
          <w:numId w:val="2"/>
        </w:numPr>
        <w:spacing w:after="322"/>
        <w:jc w:val="both"/>
        <w:rPr>
          <w:rFonts w:ascii="Aptos" w:eastAsia="Aptos" w:hAnsi="Aptos" w:cs="Aptos"/>
        </w:rPr>
      </w:pPr>
      <w:r>
        <w:rPr>
          <w:rFonts w:ascii="Aptos" w:eastAsia="Aptos" w:hAnsi="Aptos" w:cs="Aptos"/>
        </w:rPr>
        <w:t>« </w:t>
      </w:r>
      <w:r w:rsidRPr="00C35BCD">
        <w:rPr>
          <w:rFonts w:ascii="Aptos" w:eastAsia="Aptos" w:hAnsi="Aptos" w:cs="Aptos"/>
          <w:i/>
          <w:iCs/>
        </w:rPr>
        <w:t xml:space="preserve">Le troisième objectif sera </w:t>
      </w:r>
      <w:r w:rsidRPr="00F05B6E">
        <w:rPr>
          <w:rFonts w:ascii="Aptos" w:eastAsia="Aptos" w:hAnsi="Aptos" w:cs="Aptos"/>
          <w:i/>
          <w:iCs/>
          <w:u w:val="single"/>
        </w:rPr>
        <w:t>d’atteindre la neutralité carbone en Europe en 2050</w:t>
      </w:r>
      <w:r w:rsidRPr="00C35BCD">
        <w:rPr>
          <w:rFonts w:ascii="Aptos" w:eastAsia="Aptos" w:hAnsi="Aptos" w:cs="Aptos"/>
          <w:i/>
          <w:iCs/>
        </w:rPr>
        <w:t xml:space="preserve"> pour l’ensemble de nos émissions, qu’elles soient directes ou indirectes</w:t>
      </w:r>
      <w:r>
        <w:rPr>
          <w:rFonts w:ascii="Aptos" w:eastAsia="Aptos" w:hAnsi="Aptos" w:cs="Aptos"/>
        </w:rPr>
        <w:t xml:space="preserve"> » </w:t>
      </w:r>
    </w:p>
    <w:p w14:paraId="0472F457" w14:textId="3BAA1AB9" w:rsidR="00C35BCD" w:rsidRPr="00C35BCD" w:rsidRDefault="00C35BCD" w:rsidP="00C35BCD">
      <w:pPr>
        <w:spacing w:after="322"/>
        <w:ind w:left="360"/>
        <w:jc w:val="both"/>
        <w:rPr>
          <w:rFonts w:ascii="Aptos" w:eastAsia="Aptos" w:hAnsi="Aptos" w:cs="Aptos"/>
        </w:rPr>
      </w:pPr>
      <w:r w:rsidRPr="00C35BCD">
        <w:rPr>
          <w:rFonts w:ascii="Aptos" w:eastAsia="Aptos" w:hAnsi="Aptos" w:cs="Aptos"/>
        </w:rPr>
        <w:t>(Page 5 du compte-rendu)</w:t>
      </w:r>
    </w:p>
    <w:p w14:paraId="71466BA6" w14:textId="77777777" w:rsidR="00C35BCD" w:rsidRDefault="00C35BCD" w:rsidP="00C35BCD">
      <w:pPr>
        <w:pStyle w:val="Paragraphedeliste"/>
        <w:numPr>
          <w:ilvl w:val="0"/>
          <w:numId w:val="2"/>
        </w:numPr>
        <w:spacing w:after="322"/>
        <w:jc w:val="both"/>
        <w:rPr>
          <w:rFonts w:ascii="Aptos" w:eastAsia="Aptos" w:hAnsi="Aptos" w:cs="Aptos"/>
        </w:rPr>
      </w:pPr>
      <w:r>
        <w:rPr>
          <w:rFonts w:ascii="Aptos" w:eastAsia="Aptos" w:hAnsi="Aptos" w:cs="Aptos"/>
        </w:rPr>
        <w:t>« </w:t>
      </w:r>
      <w:r w:rsidRPr="00C35BCD">
        <w:rPr>
          <w:rFonts w:ascii="Aptos" w:eastAsia="Aptos" w:hAnsi="Aptos" w:cs="Aptos"/>
          <w:i/>
          <w:iCs/>
        </w:rPr>
        <w:t xml:space="preserve">Pour parvenir à ces objectifs, </w:t>
      </w:r>
      <w:r w:rsidRPr="00F05B6E">
        <w:rPr>
          <w:rFonts w:ascii="Aptos" w:eastAsia="Aptos" w:hAnsi="Aptos" w:cs="Aptos"/>
          <w:i/>
          <w:iCs/>
          <w:u w:val="single"/>
        </w:rPr>
        <w:t>nous aspirons à être un acteur très engagé en matière de développement durable</w:t>
      </w:r>
      <w:r>
        <w:rPr>
          <w:rFonts w:ascii="Aptos" w:eastAsia="Aptos" w:hAnsi="Aptos" w:cs="Aptos"/>
          <w:i/>
          <w:iCs/>
        </w:rPr>
        <w:t xml:space="preserve"> autour de 4 axes : (….)</w:t>
      </w:r>
      <w:r>
        <w:rPr>
          <w:rFonts w:ascii="Aptos" w:eastAsia="Aptos" w:hAnsi="Aptos" w:cs="Aptos"/>
        </w:rPr>
        <w:t>»</w:t>
      </w:r>
    </w:p>
    <w:p w14:paraId="5CF7F6AE" w14:textId="4C5A0FF8" w:rsidR="00C35BCD" w:rsidRPr="00C35BCD" w:rsidRDefault="00C35BCD" w:rsidP="00C35BCD">
      <w:pPr>
        <w:pStyle w:val="Paragraphedeliste"/>
        <w:numPr>
          <w:ilvl w:val="0"/>
          <w:numId w:val="2"/>
        </w:numPr>
        <w:spacing w:after="322"/>
        <w:jc w:val="both"/>
        <w:rPr>
          <w:rFonts w:ascii="Aptos" w:eastAsia="Aptos" w:hAnsi="Aptos" w:cs="Aptos"/>
        </w:rPr>
      </w:pPr>
      <w:r>
        <w:rPr>
          <w:rFonts w:ascii="Aptos" w:eastAsia="Aptos" w:hAnsi="Aptos" w:cs="Aptos"/>
        </w:rPr>
        <w:t>« </w:t>
      </w:r>
      <w:r w:rsidRPr="00C35BCD">
        <w:rPr>
          <w:rFonts w:ascii="Aptos" w:eastAsia="Aptos" w:hAnsi="Aptos" w:cs="Aptos"/>
          <w:i/>
          <w:iCs/>
        </w:rPr>
        <w:t xml:space="preserve">Troisièmement, </w:t>
      </w:r>
      <w:r w:rsidRPr="00F05B6E">
        <w:rPr>
          <w:rFonts w:ascii="Aptos" w:eastAsia="Aptos" w:hAnsi="Aptos" w:cs="Aptos"/>
          <w:i/>
          <w:iCs/>
          <w:u w:val="single"/>
        </w:rPr>
        <w:t>l’excellence environnementale</w:t>
      </w:r>
      <w:r w:rsidRPr="00C35BCD">
        <w:rPr>
          <w:rFonts w:ascii="Aptos" w:eastAsia="Aptos" w:hAnsi="Aptos" w:cs="Aptos"/>
          <w:i/>
          <w:iCs/>
        </w:rPr>
        <w:t xml:space="preserve"> : avoir une utilisation exemplaire des ressources de la planète selon le principe d’action « éviter, réduire, compenser ». Il s’agit </w:t>
      </w:r>
      <w:r w:rsidRPr="00F05B6E">
        <w:rPr>
          <w:rFonts w:ascii="Aptos" w:eastAsia="Aptos" w:hAnsi="Aptos" w:cs="Aptos"/>
          <w:i/>
          <w:iCs/>
          <w:u w:val="single"/>
        </w:rPr>
        <w:t>d’éviter autant que possible l’impact environnemental</w:t>
      </w:r>
      <w:r w:rsidRPr="00C35BCD">
        <w:rPr>
          <w:rFonts w:ascii="Aptos" w:eastAsia="Aptos" w:hAnsi="Aptos" w:cs="Aptos"/>
          <w:i/>
          <w:iCs/>
        </w:rPr>
        <w:t>, de le réduire par ailleurs et, si ces deux actions n’ont pas pu être suffisantes, de compenser l’impact environnemental résiduel.</w:t>
      </w:r>
      <w:r>
        <w:rPr>
          <w:rFonts w:ascii="Aptos" w:eastAsia="Aptos" w:hAnsi="Aptos" w:cs="Aptos"/>
        </w:rPr>
        <w:t> »</w:t>
      </w:r>
    </w:p>
    <w:p w14:paraId="5A206D63" w14:textId="17240378" w:rsidR="00C346E6" w:rsidRDefault="00C35BCD" w:rsidP="00C35BCD">
      <w:pPr>
        <w:spacing w:after="322"/>
        <w:jc w:val="both"/>
        <w:rPr>
          <w:rFonts w:ascii="Aptos" w:eastAsia="Aptos" w:hAnsi="Aptos" w:cs="Aptos"/>
        </w:rPr>
      </w:pPr>
      <w:r>
        <w:rPr>
          <w:rFonts w:ascii="Aptos" w:eastAsia="Aptos" w:hAnsi="Aptos" w:cs="Aptos"/>
        </w:rPr>
        <w:t xml:space="preserve">Ces propos ont pu permettre </w:t>
      </w:r>
      <w:r w:rsidR="00C346E6">
        <w:rPr>
          <w:rFonts w:ascii="Aptos" w:eastAsia="Aptos" w:hAnsi="Aptos" w:cs="Aptos"/>
        </w:rPr>
        <w:t>au groupe TotalEnergies d’essayer d’obtenir des décisions publiques auprès du Parlement. En effet, pour l’année 2021, deux entités du groupe Total Energies ont déclaré au sein de 14 fiches activités de représentation d’intérêts des actions de lobbying ayant visé des membres du Parlement</w:t>
      </w:r>
      <w:r w:rsidR="00C346E6">
        <w:rPr>
          <w:rStyle w:val="Appelnotedebasdep"/>
          <w:rFonts w:ascii="Aptos" w:eastAsia="Aptos" w:hAnsi="Aptos" w:cs="Aptos"/>
        </w:rPr>
        <w:footnoteReference w:id="5"/>
      </w:r>
      <w:r w:rsidR="00C346E6">
        <w:rPr>
          <w:rFonts w:ascii="Aptos" w:eastAsia="Aptos" w:hAnsi="Aptos" w:cs="Aptos"/>
        </w:rPr>
        <w:t>.</w:t>
      </w:r>
    </w:p>
    <w:p w14:paraId="72149AC9" w14:textId="0BC7DF0A" w:rsidR="006F0FFC" w:rsidRDefault="006F0FFC" w:rsidP="006F0FFC">
      <w:pPr>
        <w:spacing w:after="322"/>
        <w:jc w:val="both"/>
        <w:rPr>
          <w:rFonts w:ascii="Aptos" w:eastAsia="Aptos" w:hAnsi="Aptos" w:cs="Aptos"/>
        </w:rPr>
      </w:pPr>
      <w:r w:rsidRPr="57A0AEF5">
        <w:rPr>
          <w:rFonts w:ascii="Aptos" w:eastAsia="Aptos" w:hAnsi="Aptos" w:cs="Aptos"/>
        </w:rPr>
        <w:t>Or, dans une décision</w:t>
      </w:r>
      <w:r w:rsidRPr="57A0AEF5">
        <w:rPr>
          <w:rStyle w:val="Appelnotedebasdep"/>
          <w:rFonts w:ascii="Aptos" w:eastAsia="Aptos" w:hAnsi="Aptos" w:cs="Aptos"/>
        </w:rPr>
        <w:footnoteReference w:id="6"/>
      </w:r>
      <w:r w:rsidRPr="57A0AEF5">
        <w:rPr>
          <w:rFonts w:ascii="Aptos" w:eastAsia="Aptos" w:hAnsi="Aptos" w:cs="Aptos"/>
        </w:rPr>
        <w:t xml:space="preserve"> du 23 octobre 2025, le tribunal judiciaire de Paris a considéré que les sociétés TotalEnergies et TotalEnergies Electricité et Gaz France </w:t>
      </w:r>
      <w:r w:rsidR="0048365A">
        <w:rPr>
          <w:rFonts w:ascii="Aptos" w:eastAsia="Aptos" w:hAnsi="Aptos" w:cs="Aptos"/>
        </w:rPr>
        <w:t xml:space="preserve">avaient </w:t>
      </w:r>
      <w:r w:rsidRPr="57A0AEF5">
        <w:rPr>
          <w:rFonts w:ascii="Aptos" w:eastAsia="Aptos" w:hAnsi="Aptos" w:cs="Aptos"/>
        </w:rPr>
        <w:t xml:space="preserve">commis des pratiques commerciales trompeuses, en diffusant, à partir du site </w:t>
      </w:r>
      <w:hyperlink r:id="rId11">
        <w:r w:rsidRPr="57A0AEF5">
          <w:rPr>
            <w:rFonts w:ascii="Aptos" w:eastAsia="Aptos" w:hAnsi="Aptos" w:cs="Aptos"/>
          </w:rPr>
          <w:t>www.totalenergies.fr</w:t>
        </w:r>
      </w:hyperlink>
      <w:r w:rsidRPr="57A0AEF5">
        <w:rPr>
          <w:rFonts w:ascii="Aptos" w:eastAsia="Aptos" w:hAnsi="Aptos" w:cs="Aptos"/>
        </w:rPr>
        <w:t xml:space="preserve">, des messages reposant sur les allégations portant sur </w:t>
      </w:r>
      <w:r w:rsidR="00C346E6">
        <w:rPr>
          <w:rFonts w:ascii="Aptos" w:eastAsia="Aptos" w:hAnsi="Aptos" w:cs="Aptos"/>
        </w:rPr>
        <w:t>le</w:t>
      </w:r>
      <w:r w:rsidRPr="57A0AEF5">
        <w:rPr>
          <w:rFonts w:ascii="Aptos" w:eastAsia="Aptos" w:hAnsi="Aptos" w:cs="Aptos"/>
        </w:rPr>
        <w:t xml:space="preserve"> “</w:t>
      </w:r>
      <w:r w:rsidRPr="00C346E6">
        <w:rPr>
          <w:rFonts w:ascii="Aptos" w:eastAsia="Aptos" w:hAnsi="Aptos" w:cs="Aptos"/>
          <w:i/>
          <w:iCs/>
        </w:rPr>
        <w:t>ambition d'atteindre la neutralité carbone d’ici 2050</w:t>
      </w:r>
      <w:r w:rsidRPr="57A0AEF5">
        <w:rPr>
          <w:rFonts w:ascii="Aptos" w:eastAsia="Aptos" w:hAnsi="Aptos" w:cs="Aptos"/>
        </w:rPr>
        <w:t xml:space="preserve"> "</w:t>
      </w:r>
      <w:r w:rsidR="00C346E6">
        <w:rPr>
          <w:rFonts w:ascii="Aptos" w:eastAsia="Aptos" w:hAnsi="Aptos" w:cs="Aptos"/>
        </w:rPr>
        <w:t xml:space="preserve"> et </w:t>
      </w:r>
      <w:r w:rsidRPr="57A0AEF5">
        <w:rPr>
          <w:rFonts w:ascii="Aptos" w:eastAsia="Aptos" w:hAnsi="Aptos" w:cs="Aptos"/>
        </w:rPr>
        <w:t xml:space="preserve">" </w:t>
      </w:r>
      <w:r w:rsidRPr="00C346E6">
        <w:rPr>
          <w:rFonts w:ascii="Aptos" w:eastAsia="Aptos" w:hAnsi="Aptos" w:cs="Aptos"/>
          <w:i/>
          <w:iCs/>
        </w:rPr>
        <w:t>d'être un acteur majeur de la transition énergétique</w:t>
      </w:r>
      <w:r w:rsidRPr="57A0AEF5">
        <w:rPr>
          <w:rFonts w:ascii="Aptos" w:eastAsia="Aptos" w:hAnsi="Aptos" w:cs="Aptos"/>
        </w:rPr>
        <w:t xml:space="preserve"> " </w:t>
      </w:r>
      <w:r w:rsidR="00C346E6">
        <w:rPr>
          <w:rFonts w:ascii="Aptos" w:eastAsia="Aptos" w:hAnsi="Aptos" w:cs="Aptos"/>
        </w:rPr>
        <w:t xml:space="preserve">et </w:t>
      </w:r>
      <w:r w:rsidR="00C346E6" w:rsidRPr="57A0AEF5">
        <w:rPr>
          <w:rFonts w:ascii="Aptos" w:eastAsia="Aptos" w:hAnsi="Aptos" w:cs="Aptos"/>
        </w:rPr>
        <w:t>"</w:t>
      </w:r>
      <w:r w:rsidR="00C346E6">
        <w:rPr>
          <w:rFonts w:ascii="Aptos" w:eastAsia="Aptos" w:hAnsi="Aptos" w:cs="Aptos"/>
        </w:rPr>
        <w:t> </w:t>
      </w:r>
      <w:r w:rsidR="00C346E6" w:rsidRPr="00C346E6">
        <w:rPr>
          <w:rFonts w:ascii="Aptos" w:eastAsia="Aptos" w:hAnsi="Aptos" w:cs="Aptos"/>
          <w:i/>
          <w:iCs/>
        </w:rPr>
        <w:t>le développement durable au cœur de notre stratégie</w:t>
      </w:r>
      <w:r w:rsidR="00C346E6">
        <w:rPr>
          <w:rFonts w:ascii="Aptos" w:eastAsia="Aptos" w:hAnsi="Aptos" w:cs="Aptos"/>
        </w:rPr>
        <w:t> </w:t>
      </w:r>
      <w:r w:rsidR="00C346E6" w:rsidRPr="57A0AEF5">
        <w:rPr>
          <w:rFonts w:ascii="Aptos" w:eastAsia="Aptos" w:hAnsi="Aptos" w:cs="Aptos"/>
        </w:rPr>
        <w:t>"</w:t>
      </w:r>
      <w:r w:rsidR="00C346E6">
        <w:rPr>
          <w:rFonts w:ascii="Aptos" w:eastAsia="Aptos" w:hAnsi="Aptos" w:cs="Aptos"/>
        </w:rPr>
        <w:t xml:space="preserve"> </w:t>
      </w:r>
      <w:r w:rsidRPr="57A0AEF5">
        <w:rPr>
          <w:rFonts w:ascii="Aptos" w:eastAsia="Aptos" w:hAnsi="Aptos" w:cs="Aptos"/>
        </w:rPr>
        <w:t xml:space="preserve">de nature à induire en erreur le consommateur, sur la portée des engagements environnementaux du Groupe. Cette </w:t>
      </w:r>
      <w:r w:rsidRPr="57A0AEF5">
        <w:rPr>
          <w:rFonts w:ascii="Aptos" w:eastAsia="Aptos" w:hAnsi="Aptos" w:cs="Aptos"/>
        </w:rPr>
        <w:lastRenderedPageBreak/>
        <w:t>décision fait toujours aujourd’hui l’objet d’une communication sur le site totalenergies.fr</w:t>
      </w:r>
      <w:r w:rsidRPr="57A0AEF5">
        <w:rPr>
          <w:rStyle w:val="Appelnotedebasdep"/>
          <w:rFonts w:ascii="Aptos" w:eastAsia="Aptos" w:hAnsi="Aptos" w:cs="Aptos"/>
        </w:rPr>
        <w:footnoteReference w:id="7"/>
      </w:r>
      <w:r w:rsidRPr="57A0AEF5">
        <w:rPr>
          <w:rFonts w:ascii="Aptos" w:eastAsia="Aptos" w:hAnsi="Aptos" w:cs="Aptos"/>
        </w:rPr>
        <w:t xml:space="preserve">, en application de la décision du tribunal. </w:t>
      </w:r>
    </w:p>
    <w:p w14:paraId="1B82FBCB" w14:textId="44EC38C9" w:rsidR="006F0FFC" w:rsidRDefault="006F0FFC" w:rsidP="006F0FFC">
      <w:pPr>
        <w:spacing w:after="322"/>
        <w:jc w:val="both"/>
        <w:rPr>
          <w:rFonts w:ascii="Aptos" w:eastAsia="Aptos" w:hAnsi="Aptos" w:cs="Aptos"/>
        </w:rPr>
      </w:pPr>
      <w:r w:rsidRPr="57A0AEF5">
        <w:rPr>
          <w:rFonts w:ascii="Aptos" w:eastAsia="Aptos" w:hAnsi="Aptos" w:cs="Aptos"/>
        </w:rPr>
        <w:t>L’article L</w:t>
      </w:r>
      <w:r w:rsidR="0048365A">
        <w:rPr>
          <w:rFonts w:ascii="Aptos" w:eastAsia="Aptos" w:hAnsi="Aptos" w:cs="Aptos"/>
        </w:rPr>
        <w:t xml:space="preserve">. </w:t>
      </w:r>
      <w:r w:rsidRPr="57A0AEF5">
        <w:rPr>
          <w:rFonts w:ascii="Aptos" w:eastAsia="Aptos" w:hAnsi="Aptos" w:cs="Aptos"/>
        </w:rPr>
        <w:t>121-2 du Code de la consommation qui fonde cette décision est rédigé ainsi</w:t>
      </w:r>
      <w:r w:rsidR="0048365A">
        <w:rPr>
          <w:rFonts w:ascii="Aptos" w:eastAsia="Aptos" w:hAnsi="Aptos" w:cs="Aptos"/>
        </w:rPr>
        <w:t> </w:t>
      </w:r>
      <w:r w:rsidRPr="57A0AEF5">
        <w:rPr>
          <w:rFonts w:ascii="Aptos" w:eastAsia="Aptos" w:hAnsi="Aptos" w:cs="Aptos"/>
        </w:rPr>
        <w:t>: “</w:t>
      </w:r>
      <w:r w:rsidRPr="00C346E6">
        <w:rPr>
          <w:rFonts w:ascii="Aptos" w:eastAsia="Aptos" w:hAnsi="Aptos" w:cs="Aptos"/>
          <w:i/>
          <w:iCs/>
        </w:rPr>
        <w:t xml:space="preserve">Une pratique commerciale est trompeuse si elle est commise dans l'une des circonstances suivantes : (...) 2° Lorsqu'elle repose sur des </w:t>
      </w:r>
      <w:r w:rsidRPr="00C346E6">
        <w:rPr>
          <w:rFonts w:ascii="Aptos" w:eastAsia="Aptos" w:hAnsi="Aptos" w:cs="Aptos"/>
          <w:b/>
          <w:bCs/>
          <w:i/>
          <w:iCs/>
        </w:rPr>
        <w:t>allégations, indications ou présentations fausses ou de nature à induire en erreur</w:t>
      </w:r>
      <w:r w:rsidRPr="00C346E6">
        <w:rPr>
          <w:rFonts w:ascii="Aptos" w:eastAsia="Aptos" w:hAnsi="Aptos" w:cs="Aptos"/>
          <w:i/>
          <w:iCs/>
        </w:rPr>
        <w:t xml:space="preserve"> et portant sur l'un ou plusieurs des éléments suivants : (...) e) La portée des engagements de l'annonceur, notamment en matière environnementale</w:t>
      </w:r>
      <w:r w:rsidRPr="57A0AEF5">
        <w:rPr>
          <w:rFonts w:ascii="Aptos" w:eastAsia="Aptos" w:hAnsi="Aptos" w:cs="Aptos"/>
        </w:rPr>
        <w:t>...”</w:t>
      </w:r>
    </w:p>
    <w:p w14:paraId="0B026E72" w14:textId="0CFEB994" w:rsidR="006F0FFC" w:rsidRDefault="006F0FFC" w:rsidP="006F0FFC">
      <w:pPr>
        <w:spacing w:after="322"/>
        <w:jc w:val="both"/>
        <w:rPr>
          <w:rFonts w:ascii="Aptos" w:eastAsia="Aptos" w:hAnsi="Aptos" w:cs="Aptos"/>
        </w:rPr>
      </w:pPr>
      <w:r w:rsidRPr="57A0AEF5">
        <w:rPr>
          <w:rFonts w:ascii="Aptos" w:eastAsia="Aptos" w:hAnsi="Aptos" w:cs="Aptos"/>
        </w:rPr>
        <w:t xml:space="preserve">Il nous semble donc que </w:t>
      </w:r>
      <w:r w:rsidR="003353A5">
        <w:rPr>
          <w:rFonts w:ascii="Aptos" w:eastAsia="Aptos" w:hAnsi="Aptos" w:cs="Aptos"/>
        </w:rPr>
        <w:t xml:space="preserve">le groupe </w:t>
      </w:r>
      <w:r w:rsidRPr="57A0AEF5">
        <w:rPr>
          <w:rFonts w:ascii="Aptos" w:eastAsia="Aptos" w:hAnsi="Aptos" w:cs="Aptos"/>
        </w:rPr>
        <w:t>TotalEnergies</w:t>
      </w:r>
      <w:r w:rsidR="003353A5">
        <w:rPr>
          <w:rFonts w:ascii="Aptos" w:eastAsia="Aptos" w:hAnsi="Aptos" w:cs="Aptos"/>
        </w:rPr>
        <w:t xml:space="preserve"> </w:t>
      </w:r>
      <w:r w:rsidRPr="57A0AEF5">
        <w:rPr>
          <w:rFonts w:ascii="Aptos" w:eastAsia="Aptos" w:hAnsi="Aptos" w:cs="Aptos"/>
        </w:rPr>
        <w:t xml:space="preserve">a pu </w:t>
      </w:r>
      <w:r w:rsidR="00166CE8">
        <w:rPr>
          <w:rFonts w:ascii="Aptos" w:eastAsia="Aptos" w:hAnsi="Aptos" w:cs="Aptos"/>
        </w:rPr>
        <w:t>chercher</w:t>
      </w:r>
      <w:r w:rsidRPr="57A0AEF5">
        <w:rPr>
          <w:rFonts w:ascii="Aptos" w:eastAsia="Aptos" w:hAnsi="Aptos" w:cs="Aptos"/>
        </w:rPr>
        <w:t xml:space="preserve"> le </w:t>
      </w:r>
      <w:r w:rsidR="00C346E6">
        <w:rPr>
          <w:rFonts w:ascii="Aptos" w:eastAsia="Aptos" w:hAnsi="Aptos" w:cs="Aptos"/>
        </w:rPr>
        <w:t>15 septembre 2021</w:t>
      </w:r>
      <w:r w:rsidRPr="57A0AEF5">
        <w:rPr>
          <w:rFonts w:ascii="Aptos" w:eastAsia="Aptos" w:hAnsi="Aptos" w:cs="Aptos"/>
        </w:rPr>
        <w:t xml:space="preserve"> d'obtenir des décisions </w:t>
      </w:r>
      <w:r w:rsidR="00C346E6">
        <w:rPr>
          <w:rFonts w:ascii="Aptos" w:eastAsia="Aptos" w:hAnsi="Aptos" w:cs="Aptos"/>
        </w:rPr>
        <w:t xml:space="preserve">du Parlement </w:t>
      </w:r>
      <w:r w:rsidRPr="57A0AEF5">
        <w:rPr>
          <w:rFonts w:ascii="Aptos" w:eastAsia="Aptos" w:hAnsi="Aptos" w:cs="Aptos"/>
        </w:rPr>
        <w:t xml:space="preserve">en communiquant délibérément à </w:t>
      </w:r>
      <w:r w:rsidR="00C346E6">
        <w:rPr>
          <w:rFonts w:ascii="Aptos" w:eastAsia="Aptos" w:hAnsi="Aptos" w:cs="Aptos"/>
        </w:rPr>
        <w:t xml:space="preserve">des députés des </w:t>
      </w:r>
      <w:r w:rsidR="003353A5">
        <w:rPr>
          <w:rFonts w:ascii="Aptos" w:eastAsia="Aptos" w:hAnsi="Aptos" w:cs="Aptos"/>
        </w:rPr>
        <w:t>informations</w:t>
      </w:r>
      <w:r w:rsidR="00C346E6">
        <w:rPr>
          <w:rFonts w:ascii="Aptos" w:eastAsia="Aptos" w:hAnsi="Aptos" w:cs="Aptos"/>
        </w:rPr>
        <w:t xml:space="preserve"> erroné</w:t>
      </w:r>
      <w:r w:rsidR="003353A5">
        <w:rPr>
          <w:rFonts w:ascii="Aptos" w:eastAsia="Aptos" w:hAnsi="Aptos" w:cs="Aptos"/>
        </w:rPr>
        <w:t>e</w:t>
      </w:r>
      <w:r w:rsidR="00C346E6">
        <w:rPr>
          <w:rFonts w:ascii="Aptos" w:eastAsia="Aptos" w:hAnsi="Aptos" w:cs="Aptos"/>
        </w:rPr>
        <w:t>s</w:t>
      </w:r>
      <w:r w:rsidR="00F05B6E">
        <w:rPr>
          <w:rFonts w:ascii="Aptos" w:eastAsia="Aptos" w:hAnsi="Aptos" w:cs="Aptos"/>
        </w:rPr>
        <w:t xml:space="preserve"> de nature à les induire en erreur</w:t>
      </w:r>
      <w:r w:rsidR="00C346E6">
        <w:rPr>
          <w:rFonts w:ascii="Aptos" w:eastAsia="Aptos" w:hAnsi="Aptos" w:cs="Aptos"/>
        </w:rPr>
        <w:t>.</w:t>
      </w:r>
      <w:r w:rsidRPr="57A0AEF5">
        <w:rPr>
          <w:rFonts w:ascii="Aptos" w:eastAsia="Aptos" w:hAnsi="Aptos" w:cs="Aptos"/>
        </w:rPr>
        <w:t xml:space="preserve"> </w:t>
      </w:r>
    </w:p>
    <w:p w14:paraId="7753BAC4" w14:textId="3CE6DEA7" w:rsidR="006F0FFC" w:rsidRDefault="006F0FFC" w:rsidP="006F0FFC">
      <w:pPr>
        <w:spacing w:after="322"/>
        <w:jc w:val="both"/>
        <w:rPr>
          <w:rFonts w:ascii="Aptos" w:eastAsia="Aptos" w:hAnsi="Aptos" w:cs="Aptos"/>
        </w:rPr>
      </w:pPr>
      <w:r w:rsidRPr="57A0AEF5">
        <w:rPr>
          <w:rFonts w:ascii="Aptos" w:eastAsia="Aptos" w:hAnsi="Aptos" w:cs="Aptos"/>
        </w:rPr>
        <w:t xml:space="preserve">Nous </w:t>
      </w:r>
      <w:r w:rsidR="00166CE8">
        <w:rPr>
          <w:rFonts w:ascii="Aptos" w:eastAsia="Aptos" w:hAnsi="Aptos" w:cs="Aptos"/>
        </w:rPr>
        <w:t xml:space="preserve">suggérons donc que vous saisissiez le </w:t>
      </w:r>
      <w:r w:rsidR="003353A5">
        <w:rPr>
          <w:rFonts w:ascii="Aptos" w:eastAsia="Aptos" w:hAnsi="Aptos" w:cs="Aptos"/>
        </w:rPr>
        <w:t xml:space="preserve">déontologue de l’Assemblée nationale </w:t>
      </w:r>
      <w:r w:rsidR="00166CE8">
        <w:rPr>
          <w:rFonts w:ascii="Aptos" w:eastAsia="Aptos" w:hAnsi="Aptos" w:cs="Aptos"/>
        </w:rPr>
        <w:t xml:space="preserve">en vue </w:t>
      </w:r>
      <w:r w:rsidR="003353A5">
        <w:rPr>
          <w:rFonts w:ascii="Aptos" w:eastAsia="Aptos" w:hAnsi="Aptos" w:cs="Aptos"/>
        </w:rPr>
        <w:t>de procéder à l’analyse de notre signalement</w:t>
      </w:r>
      <w:r w:rsidR="00166CE8">
        <w:rPr>
          <w:rFonts w:ascii="Aptos" w:eastAsia="Aptos" w:hAnsi="Aptos" w:cs="Aptos"/>
        </w:rPr>
        <w:t xml:space="preserve">, à charge pour ce dernier, en cas de présomption de </w:t>
      </w:r>
      <w:r w:rsidR="003353A5">
        <w:rPr>
          <w:rFonts w:ascii="Aptos" w:eastAsia="Aptos" w:hAnsi="Aptos" w:cs="Aptos"/>
        </w:rPr>
        <w:t>manquement constaté</w:t>
      </w:r>
      <w:r w:rsidR="00166CE8">
        <w:rPr>
          <w:rFonts w:ascii="Aptos" w:eastAsia="Aptos" w:hAnsi="Aptos" w:cs="Aptos"/>
        </w:rPr>
        <w:t>,</w:t>
      </w:r>
      <w:r w:rsidR="003353A5">
        <w:rPr>
          <w:rFonts w:ascii="Aptos" w:eastAsia="Aptos" w:hAnsi="Aptos" w:cs="Aptos"/>
        </w:rPr>
        <w:t xml:space="preserve"> </w:t>
      </w:r>
      <w:r w:rsidR="00166CE8">
        <w:rPr>
          <w:rFonts w:ascii="Aptos" w:eastAsia="Aptos" w:hAnsi="Aptos" w:cs="Aptos"/>
        </w:rPr>
        <w:t>de saisir la</w:t>
      </w:r>
      <w:r w:rsidR="003353A5">
        <w:rPr>
          <w:rFonts w:ascii="Aptos" w:eastAsia="Aptos" w:hAnsi="Aptos" w:cs="Aptos"/>
        </w:rPr>
        <w:t xml:space="preserve"> </w:t>
      </w:r>
      <w:r w:rsidR="00166CE8">
        <w:rPr>
          <w:rFonts w:ascii="Aptos" w:eastAsia="Aptos" w:hAnsi="Aptos" w:cs="Aptos"/>
        </w:rPr>
        <w:t>P</w:t>
      </w:r>
      <w:r w:rsidR="003353A5">
        <w:rPr>
          <w:rFonts w:ascii="Aptos" w:eastAsia="Aptos" w:hAnsi="Aptos" w:cs="Aptos"/>
        </w:rPr>
        <w:t>résident</w:t>
      </w:r>
      <w:r w:rsidR="00166CE8">
        <w:rPr>
          <w:rFonts w:ascii="Aptos" w:eastAsia="Aptos" w:hAnsi="Aptos" w:cs="Aptos"/>
        </w:rPr>
        <w:t xml:space="preserve">e </w:t>
      </w:r>
      <w:r w:rsidR="003353A5">
        <w:rPr>
          <w:rFonts w:ascii="Aptos" w:eastAsia="Aptos" w:hAnsi="Aptos" w:cs="Aptos"/>
        </w:rPr>
        <w:t>de l’Assemblée nationale pour une éventuelle mise en demeure</w:t>
      </w:r>
      <w:r w:rsidR="003353A5">
        <w:rPr>
          <w:rStyle w:val="Appelnotedebasdep"/>
          <w:rFonts w:ascii="Aptos" w:eastAsia="Aptos" w:hAnsi="Aptos" w:cs="Aptos"/>
        </w:rPr>
        <w:footnoteReference w:id="8"/>
      </w:r>
      <w:r w:rsidR="003353A5">
        <w:rPr>
          <w:rFonts w:ascii="Aptos" w:eastAsia="Aptos" w:hAnsi="Aptos" w:cs="Aptos"/>
        </w:rPr>
        <w:t>.</w:t>
      </w:r>
    </w:p>
    <w:p w14:paraId="6230E99C" w14:textId="1371D09D" w:rsidR="006F0FFC" w:rsidRDefault="006F0FFC" w:rsidP="006F0FFC">
      <w:pPr>
        <w:spacing w:after="322"/>
        <w:jc w:val="both"/>
        <w:rPr>
          <w:rFonts w:ascii="Aptos" w:eastAsia="Aptos" w:hAnsi="Aptos" w:cs="Aptos"/>
        </w:rPr>
      </w:pPr>
      <w:r w:rsidRPr="57A0AEF5">
        <w:rPr>
          <w:rFonts w:ascii="Aptos" w:eastAsia="Aptos" w:hAnsi="Aptos" w:cs="Aptos"/>
        </w:rPr>
        <w:t>Je vous prie d</w:t>
      </w:r>
      <w:r w:rsidR="00166CE8">
        <w:rPr>
          <w:rFonts w:ascii="Aptos" w:eastAsia="Aptos" w:hAnsi="Aptos" w:cs="Aptos"/>
        </w:rPr>
        <w:t>e croire</w:t>
      </w:r>
      <w:r w:rsidRPr="57A0AEF5">
        <w:rPr>
          <w:rFonts w:ascii="Aptos" w:eastAsia="Aptos" w:hAnsi="Aptos" w:cs="Aptos"/>
        </w:rPr>
        <w:t xml:space="preserve">, Monsieur le </w:t>
      </w:r>
      <w:r w:rsidR="003353A5">
        <w:rPr>
          <w:rFonts w:ascii="Aptos" w:eastAsia="Aptos" w:hAnsi="Aptos" w:cs="Aptos"/>
        </w:rPr>
        <w:t>Député</w:t>
      </w:r>
      <w:r w:rsidRPr="57A0AEF5">
        <w:rPr>
          <w:rFonts w:ascii="Aptos" w:eastAsia="Aptos" w:hAnsi="Aptos" w:cs="Aptos"/>
        </w:rPr>
        <w:t xml:space="preserve">, </w:t>
      </w:r>
      <w:r w:rsidR="00166CE8">
        <w:rPr>
          <w:rFonts w:ascii="Aptos" w:eastAsia="Aptos" w:hAnsi="Aptos" w:cs="Aptos"/>
        </w:rPr>
        <w:t xml:space="preserve">en </w:t>
      </w:r>
      <w:r w:rsidRPr="57A0AEF5">
        <w:rPr>
          <w:rFonts w:ascii="Aptos" w:eastAsia="Aptos" w:hAnsi="Aptos" w:cs="Aptos"/>
        </w:rPr>
        <w:t>l’assurance de ma haute considération.</w:t>
      </w:r>
    </w:p>
    <w:p w14:paraId="097F01FB" w14:textId="77777777" w:rsidR="006F0FFC" w:rsidRDefault="006F0FFC" w:rsidP="006F0FFC">
      <w:pPr>
        <w:spacing w:after="322"/>
        <w:jc w:val="both"/>
        <w:rPr>
          <w:rFonts w:ascii="Aptos" w:eastAsia="Aptos" w:hAnsi="Aptos" w:cs="Aptos"/>
        </w:rPr>
      </w:pPr>
    </w:p>
    <w:p w14:paraId="687BBAC5" w14:textId="77777777" w:rsidR="006F0FFC" w:rsidRDefault="006F0FFC" w:rsidP="006F0FFC">
      <w:pPr>
        <w:spacing w:after="322"/>
        <w:jc w:val="right"/>
        <w:rPr>
          <w:rFonts w:ascii="Aptos" w:eastAsia="Aptos" w:hAnsi="Aptos" w:cs="Aptos"/>
        </w:rPr>
      </w:pPr>
      <w:r w:rsidRPr="57A0AEF5">
        <w:rPr>
          <w:rFonts w:ascii="Aptos" w:eastAsia="Aptos" w:hAnsi="Aptos" w:cs="Aptos"/>
        </w:rPr>
        <w:t>Patrick Lefas</w:t>
      </w:r>
    </w:p>
    <w:p w14:paraId="6DB9076F" w14:textId="77777777" w:rsidR="006F0FFC" w:rsidRDefault="006F0FFC" w:rsidP="006F0FFC">
      <w:pPr>
        <w:spacing w:after="322"/>
        <w:jc w:val="both"/>
        <w:rPr>
          <w:rFonts w:ascii="Aptos" w:eastAsia="Aptos" w:hAnsi="Aptos" w:cs="Aptos"/>
        </w:rPr>
      </w:pPr>
    </w:p>
    <w:p w14:paraId="5F1E19C0" w14:textId="77777777" w:rsidR="006F0FFC" w:rsidRDefault="006F0FFC"/>
    <w:sectPr w:rsidR="006F0FFC" w:rsidSect="006F0FFC">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0024" w14:textId="77777777" w:rsidR="00043E58" w:rsidRDefault="00043E58" w:rsidP="006F0FFC">
      <w:pPr>
        <w:spacing w:after="0" w:line="240" w:lineRule="auto"/>
      </w:pPr>
      <w:r>
        <w:separator/>
      </w:r>
    </w:p>
  </w:endnote>
  <w:endnote w:type="continuationSeparator" w:id="0">
    <w:p w14:paraId="4F062855" w14:textId="77777777" w:rsidR="00043E58" w:rsidRDefault="00043E58" w:rsidP="006F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6F0FFC" w14:paraId="19F5559C" w14:textId="77777777" w:rsidTr="57A0AEF5">
      <w:trPr>
        <w:trHeight w:val="300"/>
      </w:trPr>
      <w:tc>
        <w:tcPr>
          <w:tcW w:w="3005" w:type="dxa"/>
        </w:tcPr>
        <w:p w14:paraId="129E30C2" w14:textId="77777777" w:rsidR="006F0FFC" w:rsidRDefault="006F0FFC" w:rsidP="57A0AEF5">
          <w:pPr>
            <w:pStyle w:val="En-tte"/>
            <w:ind w:left="-115"/>
          </w:pPr>
        </w:p>
      </w:tc>
      <w:tc>
        <w:tcPr>
          <w:tcW w:w="3005" w:type="dxa"/>
        </w:tcPr>
        <w:p w14:paraId="59C1331B" w14:textId="77777777" w:rsidR="006F0FFC" w:rsidRDefault="006F0FFC" w:rsidP="57A0AEF5">
          <w:pPr>
            <w:pStyle w:val="En-tte"/>
            <w:jc w:val="center"/>
          </w:pPr>
        </w:p>
      </w:tc>
      <w:tc>
        <w:tcPr>
          <w:tcW w:w="3005" w:type="dxa"/>
        </w:tcPr>
        <w:p w14:paraId="63D2683A" w14:textId="77777777" w:rsidR="006F0FFC" w:rsidRDefault="006F0FFC" w:rsidP="57A0AEF5">
          <w:pPr>
            <w:pStyle w:val="En-tte"/>
            <w:ind w:right="-115"/>
            <w:jc w:val="right"/>
          </w:pPr>
        </w:p>
      </w:tc>
    </w:tr>
  </w:tbl>
  <w:p w14:paraId="73E201A8" w14:textId="77777777" w:rsidR="006F0FFC" w:rsidRDefault="006F0FFC" w:rsidP="57A0AE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0BB6" w14:textId="77777777" w:rsidR="00043E58" w:rsidRDefault="00043E58" w:rsidP="006F0FFC">
      <w:pPr>
        <w:spacing w:after="0" w:line="240" w:lineRule="auto"/>
      </w:pPr>
      <w:r>
        <w:separator/>
      </w:r>
    </w:p>
  </w:footnote>
  <w:footnote w:type="continuationSeparator" w:id="0">
    <w:p w14:paraId="55C0061F" w14:textId="77777777" w:rsidR="00043E58" w:rsidRDefault="00043E58" w:rsidP="006F0FFC">
      <w:pPr>
        <w:spacing w:after="0" w:line="240" w:lineRule="auto"/>
      </w:pPr>
      <w:r>
        <w:continuationSeparator/>
      </w:r>
    </w:p>
  </w:footnote>
  <w:footnote w:id="1">
    <w:p w14:paraId="45D78242" w14:textId="43DD5881" w:rsidR="003353A5" w:rsidRDefault="003353A5">
      <w:pPr>
        <w:pStyle w:val="Notedebasdepage"/>
      </w:pPr>
      <w:r>
        <w:rPr>
          <w:rStyle w:val="Appelnotedebasdep"/>
        </w:rPr>
        <w:footnoteRef/>
      </w:r>
      <w:r>
        <w:t xml:space="preserve"> Procédure prévue par le 1 de </w:t>
      </w:r>
      <w:r w:rsidRPr="003353A5">
        <w:t>l’article 80-5 du règlement intérieur de l’Assemblée nationale</w:t>
      </w:r>
    </w:p>
  </w:footnote>
  <w:footnote w:id="2">
    <w:p w14:paraId="53E43667" w14:textId="27282B3B" w:rsidR="001A783C" w:rsidRDefault="001A783C" w:rsidP="00FC6F8B">
      <w:pPr>
        <w:pStyle w:val="Notedebasdepage"/>
      </w:pPr>
      <w:r>
        <w:rPr>
          <w:rStyle w:val="Appelnotedebasdep"/>
        </w:rPr>
        <w:footnoteRef/>
      </w:r>
      <w:r>
        <w:t xml:space="preserve"> </w:t>
      </w:r>
      <w:hyperlink r:id="rId1" w:history="1">
        <w:r w:rsidRPr="005665BD">
          <w:rPr>
            <w:rStyle w:val="Lienhypertexte"/>
          </w:rPr>
          <w:t xml:space="preserve">Compte-rendu n°9 </w:t>
        </w:r>
        <w:r w:rsidR="00FC6F8B" w:rsidRPr="005665BD">
          <w:rPr>
            <w:rStyle w:val="Lienhypertexte"/>
          </w:rPr>
          <w:t>des auditions du 15 septembre 2021 par la Mission d'information de la conférence des présidents sur la résilience nationale</w:t>
        </w:r>
      </w:hyperlink>
    </w:p>
  </w:footnote>
  <w:footnote w:id="3">
    <w:p w14:paraId="51CF4049" w14:textId="2C4CF30C" w:rsidR="00976F84" w:rsidRDefault="00976F84">
      <w:pPr>
        <w:pStyle w:val="Notedebasdepage"/>
      </w:pPr>
      <w:r>
        <w:rPr>
          <w:rStyle w:val="Appelnotedebasdep"/>
        </w:rPr>
        <w:footnoteRef/>
      </w:r>
      <w:r>
        <w:t xml:space="preserve"> Voir la version archivée de la déclaration HATVP de Total Energies Marketing France au 4 mai 2020 </w:t>
      </w:r>
      <w:hyperlink r:id="rId2" w:history="1">
        <w:r w:rsidRPr="00DE01BA">
          <w:rPr>
            <w:rStyle w:val="Lienhypertexte"/>
          </w:rPr>
          <w:t>https://web.archive.org/web/20200504110130/https://www.hatvp.fr/fiche-organisation/?organisation=531680445</w:t>
        </w:r>
      </w:hyperlink>
      <w:r>
        <w:t xml:space="preserve"> </w:t>
      </w:r>
    </w:p>
  </w:footnote>
  <w:footnote w:id="4">
    <w:p w14:paraId="7BEB5918" w14:textId="21FDE7D7" w:rsidR="00976F84" w:rsidRDefault="00976F84" w:rsidP="00976F84">
      <w:pPr>
        <w:pStyle w:val="Notedebasdepage"/>
      </w:pPr>
      <w:r w:rsidRPr="57A0AEF5">
        <w:rPr>
          <w:rStyle w:val="Appelnotedebasdep"/>
          <w:rFonts w:ascii="Aptos" w:eastAsia="Aptos" w:hAnsi="Aptos" w:cs="Aptos"/>
        </w:rPr>
        <w:footnoteRef/>
      </w:r>
      <w:r w:rsidRPr="57A0AEF5">
        <w:rPr>
          <w:rFonts w:ascii="Aptos" w:eastAsia="Aptos" w:hAnsi="Aptos" w:cs="Aptos"/>
        </w:rPr>
        <w:t xml:space="preserve"> 5° de l’article 1</w:t>
      </w:r>
      <w:r w:rsidR="005665BD">
        <w:rPr>
          <w:rFonts w:ascii="Aptos" w:eastAsia="Aptos" w:hAnsi="Aptos" w:cs="Aptos"/>
        </w:rPr>
        <w:t>8</w:t>
      </w:r>
      <w:r w:rsidRPr="57A0AEF5">
        <w:rPr>
          <w:rFonts w:ascii="Aptos" w:eastAsia="Aptos" w:hAnsi="Aptos" w:cs="Aptos"/>
        </w:rPr>
        <w:t>-5 de loi n° 2013-907 du 11 octobre 2013 relative à la transparence de la vie publique</w:t>
      </w:r>
    </w:p>
  </w:footnote>
  <w:footnote w:id="5">
    <w:p w14:paraId="256F8764" w14:textId="30BE1032" w:rsidR="00C346E6" w:rsidRDefault="00C346E6">
      <w:pPr>
        <w:pStyle w:val="Notedebasdepage"/>
      </w:pPr>
      <w:r>
        <w:rPr>
          <w:rStyle w:val="Appelnotedebasdep"/>
        </w:rPr>
        <w:footnoteRef/>
      </w:r>
      <w:r>
        <w:t xml:space="preserve"> Les 14 objectifs de lobbying visés par ces actions de lobbying menées par Total Energies Electricité et Gaz de France et Total Energies renouvelables France auprès de membres du Parlement en 2021 sont détaillées dans un document joint à ce courrier.</w:t>
      </w:r>
    </w:p>
  </w:footnote>
  <w:footnote w:id="6">
    <w:p w14:paraId="19BF4E53" w14:textId="6DDC376D" w:rsidR="006F0FFC" w:rsidRDefault="006F0FFC" w:rsidP="006F0FFC">
      <w:pPr>
        <w:pStyle w:val="Notedebasdepage"/>
      </w:pPr>
      <w:r w:rsidRPr="57A0AEF5">
        <w:rPr>
          <w:rStyle w:val="Appelnotedebasdep"/>
          <w:rFonts w:ascii="Aptos" w:eastAsia="Aptos" w:hAnsi="Aptos" w:cs="Aptos"/>
        </w:rPr>
        <w:footnoteRef/>
      </w:r>
      <w:r w:rsidRPr="57A0AEF5">
        <w:rPr>
          <w:rFonts w:ascii="Aptos" w:eastAsia="Aptos" w:hAnsi="Aptos" w:cs="Aptos"/>
        </w:rPr>
        <w:t xml:space="preserve"> </w:t>
      </w:r>
      <w:hyperlink r:id="rId3" w:history="1">
        <w:r w:rsidRPr="00247543">
          <w:rPr>
            <w:rStyle w:val="Lienhypertexte"/>
            <w:rFonts w:ascii="Aptos" w:eastAsia="Aptos" w:hAnsi="Aptos" w:cs="Aptos"/>
          </w:rPr>
          <w:t>Décision RG n°22/02955</w:t>
        </w:r>
      </w:hyperlink>
    </w:p>
  </w:footnote>
  <w:footnote w:id="7">
    <w:p w14:paraId="5B2C72F5" w14:textId="0A525CFA" w:rsidR="006F0FFC" w:rsidRDefault="006F0FFC" w:rsidP="006F0FFC">
      <w:pPr>
        <w:pStyle w:val="Notedebasdepage"/>
      </w:pPr>
      <w:r w:rsidRPr="57A0AEF5">
        <w:rPr>
          <w:rStyle w:val="Appelnotedebasdep"/>
          <w:rFonts w:ascii="Aptos" w:eastAsia="Aptos" w:hAnsi="Aptos" w:cs="Aptos"/>
        </w:rPr>
        <w:footnoteRef/>
      </w:r>
      <w:r w:rsidRPr="57A0AEF5">
        <w:rPr>
          <w:rFonts w:ascii="Aptos" w:eastAsia="Aptos" w:hAnsi="Aptos" w:cs="Aptos"/>
        </w:rPr>
        <w:t xml:space="preserve"> </w:t>
      </w:r>
      <w:hyperlink r:id="rId4" w:history="1">
        <w:r w:rsidRPr="005665BD">
          <w:rPr>
            <w:rStyle w:val="Lienhypertexte"/>
            <w:rFonts w:ascii="Aptos" w:eastAsia="Aptos" w:hAnsi="Aptos" w:cs="Aptos"/>
          </w:rPr>
          <w:t>https://www.totalenergies.fr/fileadmin/Digital/Documents-contractuels/Dispositif.pdf</w:t>
        </w:r>
      </w:hyperlink>
    </w:p>
  </w:footnote>
  <w:footnote w:id="8">
    <w:p w14:paraId="39AD03CD" w14:textId="75447ED0" w:rsidR="003353A5" w:rsidRDefault="003353A5">
      <w:pPr>
        <w:pStyle w:val="Notedebasdepage"/>
      </w:pPr>
      <w:r>
        <w:rPr>
          <w:rStyle w:val="Appelnotedebasdep"/>
        </w:rPr>
        <w:footnoteRef/>
      </w:r>
      <w:r>
        <w:t xml:space="preserve"> Procédure prévue par le </w:t>
      </w:r>
      <w:hyperlink r:id="rId5" w:anchor="D_Article_805_223" w:history="1">
        <w:r w:rsidRPr="00247B35">
          <w:rPr>
            <w:rStyle w:val="Lienhypertexte"/>
          </w:rPr>
          <w:t>2 de l’article 80-5 du règlement intérieur de l’Assemblée nationale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6F0FFC" w14:paraId="4348824C" w14:textId="77777777" w:rsidTr="57A0AEF5">
      <w:trPr>
        <w:trHeight w:val="300"/>
      </w:trPr>
      <w:tc>
        <w:tcPr>
          <w:tcW w:w="3005" w:type="dxa"/>
        </w:tcPr>
        <w:p w14:paraId="534312AB" w14:textId="77777777" w:rsidR="006F0FFC" w:rsidRDefault="006F0FFC" w:rsidP="57A0AEF5">
          <w:pPr>
            <w:pStyle w:val="En-tte"/>
            <w:ind w:left="-115"/>
          </w:pPr>
        </w:p>
      </w:tc>
      <w:tc>
        <w:tcPr>
          <w:tcW w:w="3005" w:type="dxa"/>
        </w:tcPr>
        <w:p w14:paraId="4F301904" w14:textId="77777777" w:rsidR="006F0FFC" w:rsidRDefault="006F0FFC" w:rsidP="57A0AEF5">
          <w:pPr>
            <w:pStyle w:val="En-tte"/>
            <w:jc w:val="center"/>
          </w:pPr>
        </w:p>
      </w:tc>
      <w:tc>
        <w:tcPr>
          <w:tcW w:w="3005" w:type="dxa"/>
        </w:tcPr>
        <w:p w14:paraId="033C81B4" w14:textId="77777777" w:rsidR="006F0FFC" w:rsidRDefault="006F0FFC" w:rsidP="57A0AEF5">
          <w:pPr>
            <w:pStyle w:val="En-tte"/>
            <w:ind w:right="-115"/>
            <w:jc w:val="right"/>
          </w:pPr>
        </w:p>
      </w:tc>
    </w:tr>
  </w:tbl>
  <w:p w14:paraId="4FBB8862" w14:textId="58D5AB91" w:rsidR="006F0FFC" w:rsidRDefault="0048365A" w:rsidP="57A0AEF5">
    <w:pPr>
      <w:pStyle w:val="En-tte"/>
    </w:pPr>
    <w:r>
      <w:rPr>
        <w:noProof/>
      </w:rPr>
      <w:drawing>
        <wp:inline distT="0" distB="0" distL="0" distR="0" wp14:anchorId="1823B53E" wp14:editId="2CECBDA7">
          <wp:extent cx="1386254" cy="628650"/>
          <wp:effectExtent l="0" t="0" r="444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ransparency-international-france.png"/>
                  <pic:cNvPicPr/>
                </pic:nvPicPr>
                <pic:blipFill>
                  <a:blip r:embed="rId1">
                    <a:extLst>
                      <a:ext uri="{28A0092B-C50C-407E-A947-70E740481C1C}">
                        <a14:useLocalDpi xmlns:a14="http://schemas.microsoft.com/office/drawing/2010/main" val="0"/>
                      </a:ext>
                    </a:extLst>
                  </a:blip>
                  <a:stretch>
                    <a:fillRect/>
                  </a:stretch>
                </pic:blipFill>
                <pic:spPr>
                  <a:xfrm>
                    <a:off x="0" y="0"/>
                    <a:ext cx="1389500" cy="6301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EE153"/>
    <w:multiLevelType w:val="hybridMultilevel"/>
    <w:tmpl w:val="DC564BF4"/>
    <w:lvl w:ilvl="0" w:tplc="46D6D0EE">
      <w:start w:val="1"/>
      <w:numFmt w:val="bullet"/>
      <w:lvlText w:val="-"/>
      <w:lvlJc w:val="left"/>
      <w:pPr>
        <w:ind w:left="720" w:hanging="360"/>
      </w:pPr>
      <w:rPr>
        <w:rFonts w:ascii="Aptos" w:hAnsi="Aptos" w:hint="default"/>
      </w:rPr>
    </w:lvl>
    <w:lvl w:ilvl="1" w:tplc="D14269CC">
      <w:start w:val="1"/>
      <w:numFmt w:val="bullet"/>
      <w:lvlText w:val="o"/>
      <w:lvlJc w:val="left"/>
      <w:pPr>
        <w:ind w:left="1440" w:hanging="360"/>
      </w:pPr>
      <w:rPr>
        <w:rFonts w:ascii="Courier New" w:hAnsi="Courier New" w:hint="default"/>
      </w:rPr>
    </w:lvl>
    <w:lvl w:ilvl="2" w:tplc="269A2CC2">
      <w:start w:val="1"/>
      <w:numFmt w:val="bullet"/>
      <w:lvlText w:val=""/>
      <w:lvlJc w:val="left"/>
      <w:pPr>
        <w:ind w:left="2160" w:hanging="360"/>
      </w:pPr>
      <w:rPr>
        <w:rFonts w:ascii="Wingdings" w:hAnsi="Wingdings" w:hint="default"/>
      </w:rPr>
    </w:lvl>
    <w:lvl w:ilvl="3" w:tplc="7CFC5A72">
      <w:start w:val="1"/>
      <w:numFmt w:val="bullet"/>
      <w:lvlText w:val=""/>
      <w:lvlJc w:val="left"/>
      <w:pPr>
        <w:ind w:left="2880" w:hanging="360"/>
      </w:pPr>
      <w:rPr>
        <w:rFonts w:ascii="Symbol" w:hAnsi="Symbol" w:hint="default"/>
      </w:rPr>
    </w:lvl>
    <w:lvl w:ilvl="4" w:tplc="2556CE88">
      <w:start w:val="1"/>
      <w:numFmt w:val="bullet"/>
      <w:lvlText w:val="o"/>
      <w:lvlJc w:val="left"/>
      <w:pPr>
        <w:ind w:left="3600" w:hanging="360"/>
      </w:pPr>
      <w:rPr>
        <w:rFonts w:ascii="Courier New" w:hAnsi="Courier New" w:hint="default"/>
      </w:rPr>
    </w:lvl>
    <w:lvl w:ilvl="5" w:tplc="B4E8C95C">
      <w:start w:val="1"/>
      <w:numFmt w:val="bullet"/>
      <w:lvlText w:val=""/>
      <w:lvlJc w:val="left"/>
      <w:pPr>
        <w:ind w:left="4320" w:hanging="360"/>
      </w:pPr>
      <w:rPr>
        <w:rFonts w:ascii="Wingdings" w:hAnsi="Wingdings" w:hint="default"/>
      </w:rPr>
    </w:lvl>
    <w:lvl w:ilvl="6" w:tplc="6AF23F84">
      <w:start w:val="1"/>
      <w:numFmt w:val="bullet"/>
      <w:lvlText w:val=""/>
      <w:lvlJc w:val="left"/>
      <w:pPr>
        <w:ind w:left="5040" w:hanging="360"/>
      </w:pPr>
      <w:rPr>
        <w:rFonts w:ascii="Symbol" w:hAnsi="Symbol" w:hint="default"/>
      </w:rPr>
    </w:lvl>
    <w:lvl w:ilvl="7" w:tplc="3148FA04">
      <w:start w:val="1"/>
      <w:numFmt w:val="bullet"/>
      <w:lvlText w:val="o"/>
      <w:lvlJc w:val="left"/>
      <w:pPr>
        <w:ind w:left="5760" w:hanging="360"/>
      </w:pPr>
      <w:rPr>
        <w:rFonts w:ascii="Courier New" w:hAnsi="Courier New" w:hint="default"/>
      </w:rPr>
    </w:lvl>
    <w:lvl w:ilvl="8" w:tplc="3040546A">
      <w:start w:val="1"/>
      <w:numFmt w:val="bullet"/>
      <w:lvlText w:val=""/>
      <w:lvlJc w:val="left"/>
      <w:pPr>
        <w:ind w:left="6480" w:hanging="360"/>
      </w:pPr>
      <w:rPr>
        <w:rFonts w:ascii="Wingdings" w:hAnsi="Wingdings" w:hint="default"/>
      </w:rPr>
    </w:lvl>
  </w:abstractNum>
  <w:abstractNum w:abstractNumId="1" w15:restartNumberingAfterBreak="0">
    <w:nsid w:val="5649CD97"/>
    <w:multiLevelType w:val="hybridMultilevel"/>
    <w:tmpl w:val="B1B87B80"/>
    <w:lvl w:ilvl="0" w:tplc="553658D2">
      <w:start w:val="1"/>
      <w:numFmt w:val="bullet"/>
      <w:lvlText w:val="-"/>
      <w:lvlJc w:val="left"/>
      <w:pPr>
        <w:ind w:left="720" w:hanging="360"/>
      </w:pPr>
      <w:rPr>
        <w:rFonts w:ascii="Aptos" w:hAnsi="Aptos" w:hint="default"/>
      </w:rPr>
    </w:lvl>
    <w:lvl w:ilvl="1" w:tplc="CD48FD86">
      <w:start w:val="1"/>
      <w:numFmt w:val="bullet"/>
      <w:lvlText w:val="o"/>
      <w:lvlJc w:val="left"/>
      <w:pPr>
        <w:ind w:left="1440" w:hanging="360"/>
      </w:pPr>
      <w:rPr>
        <w:rFonts w:ascii="Courier New" w:hAnsi="Courier New" w:hint="default"/>
      </w:rPr>
    </w:lvl>
    <w:lvl w:ilvl="2" w:tplc="8AAE9FA6">
      <w:start w:val="1"/>
      <w:numFmt w:val="bullet"/>
      <w:lvlText w:val=""/>
      <w:lvlJc w:val="left"/>
      <w:pPr>
        <w:ind w:left="2160" w:hanging="360"/>
      </w:pPr>
      <w:rPr>
        <w:rFonts w:ascii="Wingdings" w:hAnsi="Wingdings" w:hint="default"/>
      </w:rPr>
    </w:lvl>
    <w:lvl w:ilvl="3" w:tplc="47DE6724">
      <w:start w:val="1"/>
      <w:numFmt w:val="bullet"/>
      <w:lvlText w:val=""/>
      <w:lvlJc w:val="left"/>
      <w:pPr>
        <w:ind w:left="2880" w:hanging="360"/>
      </w:pPr>
      <w:rPr>
        <w:rFonts w:ascii="Symbol" w:hAnsi="Symbol" w:hint="default"/>
      </w:rPr>
    </w:lvl>
    <w:lvl w:ilvl="4" w:tplc="70BA03F8">
      <w:start w:val="1"/>
      <w:numFmt w:val="bullet"/>
      <w:lvlText w:val="o"/>
      <w:lvlJc w:val="left"/>
      <w:pPr>
        <w:ind w:left="3600" w:hanging="360"/>
      </w:pPr>
      <w:rPr>
        <w:rFonts w:ascii="Courier New" w:hAnsi="Courier New" w:hint="default"/>
      </w:rPr>
    </w:lvl>
    <w:lvl w:ilvl="5" w:tplc="877AF594">
      <w:start w:val="1"/>
      <w:numFmt w:val="bullet"/>
      <w:lvlText w:val=""/>
      <w:lvlJc w:val="left"/>
      <w:pPr>
        <w:ind w:left="4320" w:hanging="360"/>
      </w:pPr>
      <w:rPr>
        <w:rFonts w:ascii="Wingdings" w:hAnsi="Wingdings" w:hint="default"/>
      </w:rPr>
    </w:lvl>
    <w:lvl w:ilvl="6" w:tplc="B7C21C7A">
      <w:start w:val="1"/>
      <w:numFmt w:val="bullet"/>
      <w:lvlText w:val=""/>
      <w:lvlJc w:val="left"/>
      <w:pPr>
        <w:ind w:left="5040" w:hanging="360"/>
      </w:pPr>
      <w:rPr>
        <w:rFonts w:ascii="Symbol" w:hAnsi="Symbol" w:hint="default"/>
      </w:rPr>
    </w:lvl>
    <w:lvl w:ilvl="7" w:tplc="FB325220">
      <w:start w:val="1"/>
      <w:numFmt w:val="bullet"/>
      <w:lvlText w:val="o"/>
      <w:lvlJc w:val="left"/>
      <w:pPr>
        <w:ind w:left="5760" w:hanging="360"/>
      </w:pPr>
      <w:rPr>
        <w:rFonts w:ascii="Courier New" w:hAnsi="Courier New" w:hint="default"/>
      </w:rPr>
    </w:lvl>
    <w:lvl w:ilvl="8" w:tplc="EC96DFB0">
      <w:start w:val="1"/>
      <w:numFmt w:val="bullet"/>
      <w:lvlText w:val=""/>
      <w:lvlJc w:val="left"/>
      <w:pPr>
        <w:ind w:left="6480" w:hanging="360"/>
      </w:pPr>
      <w:rPr>
        <w:rFonts w:ascii="Wingdings" w:hAnsi="Wingdings" w:hint="default"/>
      </w:rPr>
    </w:lvl>
  </w:abstractNum>
  <w:num w:numId="1" w16cid:durableId="1227379557">
    <w:abstractNumId w:val="0"/>
  </w:num>
  <w:num w:numId="2" w16cid:durableId="988511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FC"/>
    <w:rsid w:val="00043E58"/>
    <w:rsid w:val="001621F1"/>
    <w:rsid w:val="00166CE8"/>
    <w:rsid w:val="00183D60"/>
    <w:rsid w:val="001A783C"/>
    <w:rsid w:val="00247543"/>
    <w:rsid w:val="00247B35"/>
    <w:rsid w:val="003353A5"/>
    <w:rsid w:val="0048365A"/>
    <w:rsid w:val="004F49E6"/>
    <w:rsid w:val="005665BD"/>
    <w:rsid w:val="005D3AF2"/>
    <w:rsid w:val="00640E8B"/>
    <w:rsid w:val="00675888"/>
    <w:rsid w:val="006F0FFC"/>
    <w:rsid w:val="00724C29"/>
    <w:rsid w:val="008C3C9F"/>
    <w:rsid w:val="008E048A"/>
    <w:rsid w:val="00960EF8"/>
    <w:rsid w:val="00976F84"/>
    <w:rsid w:val="009A497D"/>
    <w:rsid w:val="00B14141"/>
    <w:rsid w:val="00C346E6"/>
    <w:rsid w:val="00C35BCD"/>
    <w:rsid w:val="00F05B6E"/>
    <w:rsid w:val="00F44C2F"/>
    <w:rsid w:val="00FC6F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727E"/>
  <w15:chartTrackingRefBased/>
  <w15:docId w15:val="{FE890E60-AD32-4BDB-8C53-71D355C6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FFC"/>
    <w:pPr>
      <w:spacing w:line="279" w:lineRule="auto"/>
    </w:pPr>
    <w:rPr>
      <w:kern w:val="0"/>
      <w14:ligatures w14:val="none"/>
    </w:rPr>
  </w:style>
  <w:style w:type="paragraph" w:styleId="Titre1">
    <w:name w:val="heading 1"/>
    <w:basedOn w:val="Normal"/>
    <w:next w:val="Normal"/>
    <w:link w:val="Titre1Car"/>
    <w:uiPriority w:val="9"/>
    <w:qFormat/>
    <w:rsid w:val="006F0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0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F0FF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F0FF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F0FF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F0FF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0FF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0FF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0FF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0FF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F0FF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F0FF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F0FF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F0FF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F0FF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0FF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0FF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0FFC"/>
    <w:rPr>
      <w:rFonts w:eastAsiaTheme="majorEastAsia" w:cstheme="majorBidi"/>
      <w:color w:val="272727" w:themeColor="text1" w:themeTint="D8"/>
    </w:rPr>
  </w:style>
  <w:style w:type="paragraph" w:styleId="Titre">
    <w:name w:val="Title"/>
    <w:basedOn w:val="Normal"/>
    <w:next w:val="Normal"/>
    <w:link w:val="TitreCar"/>
    <w:uiPriority w:val="10"/>
    <w:qFormat/>
    <w:rsid w:val="006F0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0FF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0FF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0FF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0FFC"/>
    <w:pPr>
      <w:spacing w:before="160"/>
      <w:jc w:val="center"/>
    </w:pPr>
    <w:rPr>
      <w:i/>
      <w:iCs/>
      <w:color w:val="404040" w:themeColor="text1" w:themeTint="BF"/>
    </w:rPr>
  </w:style>
  <w:style w:type="character" w:customStyle="1" w:styleId="CitationCar">
    <w:name w:val="Citation Car"/>
    <w:basedOn w:val="Policepardfaut"/>
    <w:link w:val="Citation"/>
    <w:uiPriority w:val="29"/>
    <w:rsid w:val="006F0FFC"/>
    <w:rPr>
      <w:i/>
      <w:iCs/>
      <w:color w:val="404040" w:themeColor="text1" w:themeTint="BF"/>
    </w:rPr>
  </w:style>
  <w:style w:type="paragraph" w:styleId="Paragraphedeliste">
    <w:name w:val="List Paragraph"/>
    <w:basedOn w:val="Normal"/>
    <w:uiPriority w:val="34"/>
    <w:qFormat/>
    <w:rsid w:val="006F0FFC"/>
    <w:pPr>
      <w:ind w:left="720"/>
      <w:contextualSpacing/>
    </w:pPr>
  </w:style>
  <w:style w:type="character" w:styleId="Accentuationintense">
    <w:name w:val="Intense Emphasis"/>
    <w:basedOn w:val="Policepardfaut"/>
    <w:uiPriority w:val="21"/>
    <w:qFormat/>
    <w:rsid w:val="006F0FFC"/>
    <w:rPr>
      <w:i/>
      <w:iCs/>
      <w:color w:val="0F4761" w:themeColor="accent1" w:themeShade="BF"/>
    </w:rPr>
  </w:style>
  <w:style w:type="paragraph" w:styleId="Citationintense">
    <w:name w:val="Intense Quote"/>
    <w:basedOn w:val="Normal"/>
    <w:next w:val="Normal"/>
    <w:link w:val="CitationintenseCar"/>
    <w:uiPriority w:val="30"/>
    <w:qFormat/>
    <w:rsid w:val="006F0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0FFC"/>
    <w:rPr>
      <w:i/>
      <w:iCs/>
      <w:color w:val="0F4761" w:themeColor="accent1" w:themeShade="BF"/>
    </w:rPr>
  </w:style>
  <w:style w:type="character" w:styleId="Rfrenceintense">
    <w:name w:val="Intense Reference"/>
    <w:basedOn w:val="Policepardfaut"/>
    <w:uiPriority w:val="32"/>
    <w:qFormat/>
    <w:rsid w:val="006F0FFC"/>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6F0F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F0FFC"/>
    <w:rPr>
      <w:kern w:val="0"/>
      <w:sz w:val="20"/>
      <w:szCs w:val="20"/>
      <w14:ligatures w14:val="none"/>
    </w:rPr>
  </w:style>
  <w:style w:type="character" w:styleId="Appelnotedebasdep">
    <w:name w:val="footnote reference"/>
    <w:basedOn w:val="Policepardfaut"/>
    <w:uiPriority w:val="99"/>
    <w:semiHidden/>
    <w:unhideWhenUsed/>
    <w:rsid w:val="006F0FFC"/>
    <w:rPr>
      <w:vertAlign w:val="superscript"/>
    </w:rPr>
  </w:style>
  <w:style w:type="paragraph" w:styleId="En-tte">
    <w:name w:val="header"/>
    <w:basedOn w:val="Normal"/>
    <w:link w:val="En-tteCar"/>
    <w:uiPriority w:val="99"/>
    <w:unhideWhenUsed/>
    <w:rsid w:val="006F0FFC"/>
    <w:pPr>
      <w:tabs>
        <w:tab w:val="center" w:pos="4680"/>
        <w:tab w:val="right" w:pos="9360"/>
      </w:tabs>
      <w:spacing w:after="0" w:line="240" w:lineRule="auto"/>
    </w:pPr>
  </w:style>
  <w:style w:type="character" w:customStyle="1" w:styleId="En-tteCar">
    <w:name w:val="En-tête Car"/>
    <w:basedOn w:val="Policepardfaut"/>
    <w:link w:val="En-tte"/>
    <w:uiPriority w:val="99"/>
    <w:rsid w:val="006F0FFC"/>
    <w:rPr>
      <w:kern w:val="0"/>
      <w14:ligatures w14:val="none"/>
    </w:rPr>
  </w:style>
  <w:style w:type="paragraph" w:styleId="Pieddepage">
    <w:name w:val="footer"/>
    <w:basedOn w:val="Normal"/>
    <w:link w:val="PieddepageCar"/>
    <w:uiPriority w:val="99"/>
    <w:unhideWhenUsed/>
    <w:rsid w:val="006F0FF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F0FFC"/>
    <w:rPr>
      <w:kern w:val="0"/>
      <w14:ligatures w14:val="none"/>
    </w:rPr>
  </w:style>
  <w:style w:type="character" w:styleId="Lienhypertexte">
    <w:name w:val="Hyperlink"/>
    <w:basedOn w:val="Policepardfaut"/>
    <w:uiPriority w:val="99"/>
    <w:unhideWhenUsed/>
    <w:rsid w:val="006F0FFC"/>
    <w:rPr>
      <w:color w:val="467886"/>
      <w:u w:val="single"/>
    </w:rPr>
  </w:style>
  <w:style w:type="paragraph" w:styleId="Sansinterligne">
    <w:name w:val="No Spacing"/>
    <w:uiPriority w:val="1"/>
    <w:qFormat/>
    <w:rsid w:val="006F0FFC"/>
    <w:pPr>
      <w:spacing w:after="0" w:line="279" w:lineRule="auto"/>
    </w:pPr>
    <w:rPr>
      <w:kern w:val="0"/>
      <w14:ligatures w14:val="none"/>
    </w:rPr>
  </w:style>
  <w:style w:type="character" w:styleId="Mentionnonrsolue">
    <w:name w:val="Unresolved Mention"/>
    <w:basedOn w:val="Policepardfaut"/>
    <w:uiPriority w:val="99"/>
    <w:semiHidden/>
    <w:unhideWhenUsed/>
    <w:rsid w:val="00976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talenergies.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urdecassation.fr/decision/68ff2f777e08341cb497abca" TargetMode="External"/><Relationship Id="rId2" Type="http://schemas.openxmlformats.org/officeDocument/2006/relationships/hyperlink" Target="https://web.archive.org/web/20200504110130/https://www.hatvp.fr/fiche-organisation/?organisation=531680445" TargetMode="External"/><Relationship Id="rId1" Type="http://schemas.openxmlformats.org/officeDocument/2006/relationships/hyperlink" Target="https://www.assemblee-nationale.fr/dyn/opendata/CRCANR5L15S2021PO783852N009.html" TargetMode="External"/><Relationship Id="rId5" Type="http://schemas.openxmlformats.org/officeDocument/2006/relationships/hyperlink" Target="https://www.assemblee-nationale.fr/dyn/17/divers/texte_reference/02_reglement_assemblee_nationale" TargetMode="External"/><Relationship Id="rId4" Type="http://schemas.openxmlformats.org/officeDocument/2006/relationships/hyperlink" Target="https://www.totalenergies.fr/fileadmin/Digital/Documents-contractuels/Dispositi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523AF85F836448AC9FC4A9A37EC6C" ma:contentTypeVersion="22" ma:contentTypeDescription="Crée un document." ma:contentTypeScope="" ma:versionID="b6a941cab480ec08a48af1fcaab9d237">
  <xsd:schema xmlns:xsd="http://www.w3.org/2001/XMLSchema" xmlns:xs="http://www.w3.org/2001/XMLSchema" xmlns:p="http://schemas.microsoft.com/office/2006/metadata/properties" xmlns:ns1="http://schemas.microsoft.com/sharepoint/v3" xmlns:ns2="5e66408e-7cb2-40b5-9ee7-0dd8435032cb" xmlns:ns3="83e95a3d-d3e3-4ab9-adc5-9b5c6d140667" targetNamespace="http://schemas.microsoft.com/office/2006/metadata/properties" ma:root="true" ma:fieldsID="b93b437316d0e36bb46ccdc433bad6f5" ns1:_="" ns2:_="" ns3:_="">
    <xsd:import namespace="http://schemas.microsoft.com/sharepoint/v3"/>
    <xsd:import namespace="5e66408e-7cb2-40b5-9ee7-0dd8435032cb"/>
    <xsd:import namespace="83e95a3d-d3e3-4ab9-adc5-9b5c6d1406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6408e-7cb2-40b5-9ee7-0dd843503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dd85dcc-d5fa-408e-a42f-cb98906050e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95a3d-d3e3-4ab9-adc5-9b5c6d14066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4d8ee29-17e3-42c8-9049-bc3ed43d493c}" ma:internalName="TaxCatchAll" ma:showField="CatchAllData" ma:web="83e95a3d-d3e3-4ab9-adc5-9b5c6d140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5e66408e-7cb2-40b5-9ee7-0dd8435032cb" xsi:nil="true"/>
    <_ip_UnifiedCompliancePolicyProperties xmlns="http://schemas.microsoft.com/sharepoint/v3" xsi:nil="true"/>
    <lcf76f155ced4ddcb4097134ff3c332f xmlns="5e66408e-7cb2-40b5-9ee7-0dd8435032cb">
      <Terms xmlns="http://schemas.microsoft.com/office/infopath/2007/PartnerControls"/>
    </lcf76f155ced4ddcb4097134ff3c332f>
    <TaxCatchAll xmlns="83e95a3d-d3e3-4ab9-adc5-9b5c6d1406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846EE-BA88-4085-B9D4-4C0AE9C979C9}"/>
</file>

<file path=customXml/itemProps2.xml><?xml version="1.0" encoding="utf-8"?>
<ds:datastoreItem xmlns:ds="http://schemas.openxmlformats.org/officeDocument/2006/customXml" ds:itemID="{06DE014C-828C-49DC-98B4-407CB03ECC85}">
  <ds:schemaRefs>
    <ds:schemaRef ds:uri="http://schemas.microsoft.com/sharepoint/v3/contenttype/forms"/>
  </ds:schemaRefs>
</ds:datastoreItem>
</file>

<file path=customXml/itemProps3.xml><?xml version="1.0" encoding="utf-8"?>
<ds:datastoreItem xmlns:ds="http://schemas.openxmlformats.org/officeDocument/2006/customXml" ds:itemID="{955186DA-57D5-4B51-9CE8-B84483104E75}">
  <ds:schemaRefs>
    <ds:schemaRef ds:uri="http://schemas.microsoft.com/office/2006/metadata/properties"/>
    <ds:schemaRef ds:uri="http://schemas.microsoft.com/office/infopath/2007/PartnerControls"/>
    <ds:schemaRef ds:uri="http://schemas.microsoft.com/sharepoint/v3"/>
    <ds:schemaRef ds:uri="5e66408e-7cb2-40b5-9ee7-0dd8435032cb"/>
    <ds:schemaRef ds:uri="83e95a3d-d3e3-4ab9-adc5-9b5c6d140667"/>
  </ds:schemaRefs>
</ds:datastoreItem>
</file>

<file path=customXml/itemProps4.xml><?xml version="1.0" encoding="utf-8"?>
<ds:datastoreItem xmlns:ds="http://schemas.openxmlformats.org/officeDocument/2006/customXml" ds:itemID="{09F6D3FC-1633-4F36-8A28-590C3CB8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4070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Gernier (TI FR)</dc:creator>
  <cp:keywords/>
  <dc:description/>
  <cp:lastModifiedBy>Kevin Gernier (TI FR)</cp:lastModifiedBy>
  <cp:revision>5</cp:revision>
  <dcterms:created xsi:type="dcterms:W3CDTF">2026-05-28T15:23:00Z</dcterms:created>
  <dcterms:modified xsi:type="dcterms:W3CDTF">2026-05-28T15:27:00Z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0x010100B88523AF85F836448AC9FC4A9A37EC6C</vt:lpwstr>
  </property>
  <property fmtid="{D5CDD505-2E9C-101B-9397-08002B2CF9AE}" pid="3" name="MediaServiceImageTags">
    <vt:lpwstr/>
  </property>
</Properties>
</file>