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DCF5" w14:textId="77777777" w:rsidR="003A7978" w:rsidRDefault="003A7978" w:rsidP="003A7978">
      <w:pPr>
        <w:pStyle w:val="Sansinterligne"/>
        <w:spacing w:line="240" w:lineRule="auto"/>
        <w:ind w:left="4956" w:firstLine="708"/>
        <w:jc w:val="both"/>
      </w:pPr>
    </w:p>
    <w:p w14:paraId="0330C6BE" w14:textId="77777777" w:rsidR="003A7978" w:rsidRPr="00107548" w:rsidRDefault="003A7978" w:rsidP="003A7978">
      <w:pPr>
        <w:spacing w:after="0" w:line="240" w:lineRule="auto"/>
        <w:rPr>
          <w:rFonts w:eastAsia="Calibri" w:cs="Times New Roman"/>
          <w:b/>
          <w:i/>
        </w:rPr>
      </w:pPr>
      <w:r w:rsidRPr="00107548">
        <w:rPr>
          <w:rFonts w:eastAsia="Calibri" w:cs="Times New Roman"/>
          <w:b/>
          <w:i/>
        </w:rPr>
        <w:t>Le président</w:t>
      </w:r>
    </w:p>
    <w:p w14:paraId="256BC79F" w14:textId="2EA86A5A" w:rsidR="00CD2042" w:rsidRDefault="5F2F6D29" w:rsidP="003A7978">
      <w:pPr>
        <w:pStyle w:val="Sansinterligne"/>
        <w:spacing w:line="240" w:lineRule="auto"/>
        <w:ind w:left="4956" w:firstLine="708"/>
        <w:jc w:val="both"/>
      </w:pPr>
      <w:r>
        <w:t>Monsieur Jean Maïa</w:t>
      </w:r>
    </w:p>
    <w:p w14:paraId="360CE9C5" w14:textId="3DACB6C5" w:rsidR="00CD2042" w:rsidRDefault="5F2F6D29" w:rsidP="003A7978">
      <w:pPr>
        <w:pStyle w:val="Sansinterligne"/>
        <w:spacing w:line="240" w:lineRule="auto"/>
        <w:ind w:left="4956" w:firstLine="708"/>
        <w:jc w:val="both"/>
      </w:pPr>
      <w:r>
        <w:t xml:space="preserve">Président de la Haute </w:t>
      </w:r>
      <w:r w:rsidR="001C7681">
        <w:t>A</w:t>
      </w:r>
      <w:r>
        <w:t xml:space="preserve">utorité </w:t>
      </w:r>
      <w:r>
        <w:tab/>
        <w:t xml:space="preserve">pour la transparence de la vie </w:t>
      </w:r>
      <w:r>
        <w:tab/>
        <w:t>publique</w:t>
      </w:r>
    </w:p>
    <w:p w14:paraId="71008CEF" w14:textId="743FF0C5" w:rsidR="00CD2042" w:rsidRDefault="5F2F6D29" w:rsidP="003A7978">
      <w:pPr>
        <w:pStyle w:val="Sansinterligne"/>
        <w:spacing w:line="240" w:lineRule="auto"/>
        <w:ind w:left="4956" w:firstLine="708"/>
        <w:jc w:val="both"/>
      </w:pPr>
      <w:r w:rsidRPr="57A0AEF5">
        <w:t>9 rue Brahms</w:t>
      </w:r>
    </w:p>
    <w:p w14:paraId="1302B942" w14:textId="4B21846E" w:rsidR="00CD2042" w:rsidRDefault="5F2F6D29" w:rsidP="003A7978">
      <w:pPr>
        <w:pStyle w:val="Sansinterligne"/>
        <w:spacing w:line="240" w:lineRule="auto"/>
        <w:jc w:val="both"/>
      </w:pPr>
      <w:r w:rsidRPr="57A0AEF5">
        <w:t xml:space="preserve"> </w:t>
      </w:r>
      <w:r>
        <w:tab/>
      </w:r>
      <w:r>
        <w:tab/>
      </w:r>
      <w:r>
        <w:tab/>
      </w:r>
      <w:r>
        <w:tab/>
      </w:r>
      <w:r>
        <w:tab/>
      </w:r>
      <w:r>
        <w:tab/>
      </w:r>
      <w:r>
        <w:tab/>
      </w:r>
      <w:r>
        <w:tab/>
      </w:r>
      <w:r w:rsidRPr="57A0AEF5">
        <w:t>75012 Paris</w:t>
      </w:r>
    </w:p>
    <w:p w14:paraId="14C6E693" w14:textId="60A25D43" w:rsidR="00CD2042" w:rsidRDefault="00CD2042" w:rsidP="003A7978">
      <w:pPr>
        <w:spacing w:after="0" w:line="240" w:lineRule="auto"/>
        <w:jc w:val="both"/>
      </w:pPr>
    </w:p>
    <w:p w14:paraId="660085A3" w14:textId="7AE936B0" w:rsidR="00CD2042" w:rsidRDefault="00CD2042" w:rsidP="57A0AEF5">
      <w:pPr>
        <w:jc w:val="both"/>
      </w:pPr>
    </w:p>
    <w:p w14:paraId="5360EDA1" w14:textId="68BE506F" w:rsidR="00CD2042" w:rsidRDefault="003A7978" w:rsidP="003A7978">
      <w:pPr>
        <w:jc w:val="right"/>
      </w:pPr>
      <w:r>
        <w:t xml:space="preserve">A </w:t>
      </w:r>
      <w:r w:rsidR="0AFCA064">
        <w:t>Paris</w:t>
      </w:r>
      <w:r>
        <w:t>,</w:t>
      </w:r>
      <w:r w:rsidR="0AFCA064">
        <w:t xml:space="preserve"> le </w:t>
      </w:r>
      <w:r>
        <w:t>7 mai 2026</w:t>
      </w:r>
    </w:p>
    <w:p w14:paraId="25B7CAD6" w14:textId="77777777" w:rsidR="003A7978" w:rsidRDefault="003A7978" w:rsidP="57A0AEF5">
      <w:pPr>
        <w:jc w:val="both"/>
      </w:pPr>
    </w:p>
    <w:p w14:paraId="4A1AAFA3" w14:textId="4084121D" w:rsidR="00CD2042" w:rsidRDefault="19D272DE" w:rsidP="57A0AEF5">
      <w:pPr>
        <w:jc w:val="both"/>
      </w:pPr>
      <w:r>
        <w:t>Monsieur le Président,</w:t>
      </w:r>
    </w:p>
    <w:p w14:paraId="3841F735" w14:textId="5903FACD" w:rsidR="004F1371" w:rsidRDefault="19D272DE" w:rsidP="004F1371">
      <w:pPr>
        <w:spacing w:after="322"/>
        <w:jc w:val="both"/>
      </w:pPr>
      <w:r>
        <w:t xml:space="preserve">Je vous écris afin de porter à votre attention un signalement </w:t>
      </w:r>
      <w:r w:rsidR="685E721B">
        <w:t xml:space="preserve">de </w:t>
      </w:r>
      <w:proofErr w:type="spellStart"/>
      <w:r w:rsidR="685E721B">
        <w:t>Transparency</w:t>
      </w:r>
      <w:proofErr w:type="spellEnd"/>
      <w:r w:rsidR="685E721B">
        <w:t xml:space="preserve"> International France </w:t>
      </w:r>
      <w:r>
        <w:t xml:space="preserve">visant l’entreprise Total Energies SE, pour </w:t>
      </w:r>
      <w:r w:rsidR="001C7681">
        <w:t xml:space="preserve">une </w:t>
      </w:r>
      <w:r>
        <w:t xml:space="preserve">potentielle violation de </w:t>
      </w:r>
      <w:r w:rsidR="00DB17EF">
        <w:t>l’o</w:t>
      </w:r>
      <w:r>
        <w:t>bligation déontologique de sincérité</w:t>
      </w:r>
      <w:r w:rsidR="00DB17EF">
        <w:t xml:space="preserve"> qui lui incombe dans le cadre de ses activités de représentation d’intérêts</w:t>
      </w:r>
      <w:r w:rsidR="163045D1">
        <w:t>.</w:t>
      </w:r>
      <w:r w:rsidR="00365CE5">
        <w:t xml:space="preserve"> Nous vous </w:t>
      </w:r>
      <w:r w:rsidR="00A469A6">
        <w:t xml:space="preserve">saisissons </w:t>
      </w:r>
      <w:r w:rsidR="004D084C">
        <w:t xml:space="preserve">en application de notre agrément </w:t>
      </w:r>
      <w:r w:rsidR="00783761">
        <w:t xml:space="preserve">d’une durée de 3 ans </w:t>
      </w:r>
      <w:r w:rsidR="004D084C">
        <w:t xml:space="preserve">qui a été renouvelé par la HATVP </w:t>
      </w:r>
      <w:r w:rsidR="00783761">
        <w:t>en 2024</w:t>
      </w:r>
      <w:r w:rsidR="00783761">
        <w:rPr>
          <w:rStyle w:val="Appelnotedebasdep"/>
        </w:rPr>
        <w:footnoteReference w:id="1"/>
      </w:r>
      <w:r w:rsidR="00783761">
        <w:t>.</w:t>
      </w:r>
    </w:p>
    <w:p w14:paraId="460A26B8" w14:textId="25B0A5A6" w:rsidR="00CD2042" w:rsidRDefault="5B12D88A" w:rsidP="57A0AEF5">
      <w:pPr>
        <w:spacing w:after="322"/>
        <w:jc w:val="both"/>
        <w:rPr>
          <w:rFonts w:ascii="Aptos" w:eastAsia="Aptos" w:hAnsi="Aptos" w:cs="Aptos"/>
        </w:rPr>
      </w:pPr>
      <w:r w:rsidRPr="57A0AEF5">
        <w:rPr>
          <w:rFonts w:ascii="Aptos" w:eastAsia="Aptos" w:hAnsi="Aptos" w:cs="Aptos"/>
        </w:rPr>
        <w:t>N</w:t>
      </w:r>
      <w:r w:rsidR="2108A1B2" w:rsidRPr="57A0AEF5">
        <w:rPr>
          <w:rFonts w:ascii="Aptos" w:eastAsia="Aptos" w:hAnsi="Aptos" w:cs="Aptos"/>
        </w:rPr>
        <w:t>o</w:t>
      </w:r>
      <w:r w:rsidR="31B4538C" w:rsidRPr="57A0AEF5">
        <w:rPr>
          <w:rFonts w:ascii="Aptos" w:eastAsia="Aptos" w:hAnsi="Aptos" w:cs="Aptos"/>
        </w:rPr>
        <w:t>tre</w:t>
      </w:r>
      <w:r w:rsidR="2108A1B2" w:rsidRPr="57A0AEF5">
        <w:rPr>
          <w:rFonts w:ascii="Aptos" w:eastAsia="Aptos" w:hAnsi="Aptos" w:cs="Aptos"/>
        </w:rPr>
        <w:t xml:space="preserve"> </w:t>
      </w:r>
      <w:r w:rsidR="31B4538C" w:rsidRPr="57A0AEF5">
        <w:rPr>
          <w:rFonts w:ascii="Aptos" w:eastAsia="Aptos" w:hAnsi="Aptos" w:cs="Aptos"/>
        </w:rPr>
        <w:t xml:space="preserve">signalement se fonde sur des documents obtenus grâce à </w:t>
      </w:r>
      <w:r w:rsidR="2108A1B2" w:rsidRPr="57A0AEF5">
        <w:rPr>
          <w:rFonts w:ascii="Aptos" w:eastAsia="Aptos" w:hAnsi="Aptos" w:cs="Aptos"/>
        </w:rPr>
        <w:t xml:space="preserve">une demande d’accès à documents administratifs adressée </w:t>
      </w:r>
      <w:r w:rsidR="001C7681">
        <w:rPr>
          <w:rFonts w:ascii="Aptos" w:eastAsia="Aptos" w:hAnsi="Aptos" w:cs="Aptos"/>
        </w:rPr>
        <w:t>aux services du Premier ministre</w:t>
      </w:r>
      <w:r w:rsidR="165DD8B3" w:rsidRPr="57A0AEF5">
        <w:rPr>
          <w:rFonts w:ascii="Aptos" w:eastAsia="Aptos" w:hAnsi="Aptos" w:cs="Aptos"/>
        </w:rPr>
        <w:t xml:space="preserve">. Celle-ci nous a permis d’obtenir </w:t>
      </w:r>
      <w:r w:rsidR="2108A1B2" w:rsidRPr="57A0AEF5">
        <w:rPr>
          <w:rFonts w:ascii="Aptos" w:eastAsia="Aptos" w:hAnsi="Aptos" w:cs="Aptos"/>
        </w:rPr>
        <w:t xml:space="preserve">un mail envoyé </w:t>
      </w:r>
      <w:r w:rsidR="0400078D" w:rsidRPr="57A0AEF5">
        <w:rPr>
          <w:rFonts w:ascii="Aptos" w:eastAsia="Aptos" w:hAnsi="Aptos" w:cs="Aptos"/>
        </w:rPr>
        <w:t xml:space="preserve">le 21 mai 2024 par </w:t>
      </w:r>
      <w:r w:rsidR="001C7681">
        <w:rPr>
          <w:rFonts w:ascii="Aptos" w:eastAsia="Aptos" w:hAnsi="Aptos" w:cs="Aptos"/>
        </w:rPr>
        <w:t xml:space="preserve">M. </w:t>
      </w:r>
      <w:r w:rsidR="14A1D6F3" w:rsidRPr="57A0AEF5">
        <w:rPr>
          <w:rFonts w:ascii="Aptos" w:eastAsia="Aptos" w:hAnsi="Aptos" w:cs="Aptos"/>
        </w:rPr>
        <w:t xml:space="preserve">Jean Claude Mallet, </w:t>
      </w:r>
      <w:r w:rsidR="3BB7ABF9" w:rsidRPr="57A0AEF5">
        <w:rPr>
          <w:rFonts w:ascii="Aptos" w:eastAsia="Aptos" w:hAnsi="Aptos" w:cs="Aptos"/>
        </w:rPr>
        <w:t xml:space="preserve">alors </w:t>
      </w:r>
      <w:r w:rsidR="14A1D6F3" w:rsidRPr="57A0AEF5">
        <w:rPr>
          <w:rFonts w:ascii="Aptos" w:eastAsia="Aptos" w:hAnsi="Aptos" w:cs="Aptos"/>
        </w:rPr>
        <w:t xml:space="preserve">directeur des affaires publiques de </w:t>
      </w:r>
      <w:proofErr w:type="spellStart"/>
      <w:r w:rsidR="14A1D6F3" w:rsidRPr="57A0AEF5">
        <w:rPr>
          <w:rFonts w:ascii="Aptos" w:eastAsia="Aptos" w:hAnsi="Aptos" w:cs="Aptos"/>
        </w:rPr>
        <w:t>TotalEnergies</w:t>
      </w:r>
      <w:proofErr w:type="spellEnd"/>
      <w:r w:rsidR="14A1D6F3" w:rsidRPr="57A0AEF5">
        <w:rPr>
          <w:rFonts w:ascii="Aptos" w:eastAsia="Aptos" w:hAnsi="Aptos" w:cs="Aptos"/>
        </w:rPr>
        <w:t xml:space="preserve"> et déclaré en 2024 comme </w:t>
      </w:r>
      <w:r w:rsidR="7D0567BC" w:rsidRPr="57A0AEF5">
        <w:rPr>
          <w:rFonts w:ascii="Aptos" w:eastAsia="Aptos" w:hAnsi="Aptos" w:cs="Aptos"/>
        </w:rPr>
        <w:t xml:space="preserve">personne chargée de la représentation d’intérêts par </w:t>
      </w:r>
      <w:proofErr w:type="spellStart"/>
      <w:r w:rsidR="7D0567BC" w:rsidRPr="57A0AEF5">
        <w:rPr>
          <w:rFonts w:ascii="Aptos" w:eastAsia="Aptos" w:hAnsi="Aptos" w:cs="Aptos"/>
        </w:rPr>
        <w:t>TotalEnergies</w:t>
      </w:r>
      <w:proofErr w:type="spellEnd"/>
      <w:r w:rsidR="7D0567BC" w:rsidRPr="57A0AEF5">
        <w:rPr>
          <w:rFonts w:ascii="Aptos" w:eastAsia="Aptos" w:hAnsi="Aptos" w:cs="Aptos"/>
        </w:rPr>
        <w:t xml:space="preserve"> SE</w:t>
      </w:r>
      <w:r w:rsidRPr="57A0AEF5">
        <w:rPr>
          <w:rStyle w:val="Appelnotedebasdep"/>
          <w:rFonts w:ascii="Aptos" w:eastAsia="Aptos" w:hAnsi="Aptos" w:cs="Aptos"/>
        </w:rPr>
        <w:footnoteReference w:id="2"/>
      </w:r>
      <w:r w:rsidR="7D0567BC" w:rsidRPr="57A0AEF5">
        <w:rPr>
          <w:rFonts w:ascii="Aptos" w:eastAsia="Aptos" w:hAnsi="Aptos" w:cs="Aptos"/>
        </w:rPr>
        <w:t>.</w:t>
      </w:r>
      <w:r w:rsidR="41C7D672" w:rsidRPr="57A0AEF5">
        <w:rPr>
          <w:rFonts w:ascii="Aptos" w:eastAsia="Aptos" w:hAnsi="Aptos" w:cs="Aptos"/>
        </w:rPr>
        <w:t xml:space="preserve"> Ce mail était </w:t>
      </w:r>
      <w:r w:rsidR="0400078D" w:rsidRPr="57A0AEF5">
        <w:rPr>
          <w:rFonts w:ascii="Aptos" w:eastAsia="Aptos" w:hAnsi="Aptos" w:cs="Aptos"/>
        </w:rPr>
        <w:t xml:space="preserve">adressé </w:t>
      </w:r>
      <w:r w:rsidR="72BEADB5" w:rsidRPr="57A0AEF5">
        <w:rPr>
          <w:rFonts w:ascii="Aptos" w:eastAsia="Aptos" w:hAnsi="Aptos" w:cs="Aptos"/>
        </w:rPr>
        <w:t xml:space="preserve">à Christophe Leininger, </w:t>
      </w:r>
      <w:r w:rsidR="5C6AA88A" w:rsidRPr="57A0AEF5">
        <w:rPr>
          <w:rFonts w:ascii="Aptos" w:eastAsia="Aptos" w:hAnsi="Aptos" w:cs="Aptos"/>
        </w:rPr>
        <w:t xml:space="preserve">alors </w:t>
      </w:r>
      <w:r w:rsidR="0400078D" w:rsidRPr="57A0AEF5">
        <w:rPr>
          <w:rFonts w:ascii="Aptos" w:eastAsia="Aptos" w:hAnsi="Aptos" w:cs="Aptos"/>
        </w:rPr>
        <w:t xml:space="preserve">conseiller </w:t>
      </w:r>
      <w:r w:rsidR="6E2A9539" w:rsidRPr="57A0AEF5">
        <w:rPr>
          <w:rFonts w:ascii="Aptos" w:eastAsia="Aptos" w:hAnsi="Aptos" w:cs="Aptos"/>
        </w:rPr>
        <w:t xml:space="preserve">Energie </w:t>
      </w:r>
      <w:r w:rsidR="14239F20" w:rsidRPr="57A0AEF5">
        <w:rPr>
          <w:rFonts w:ascii="Aptos" w:eastAsia="Aptos" w:hAnsi="Aptos" w:cs="Aptos"/>
        </w:rPr>
        <w:t>au</w:t>
      </w:r>
      <w:r w:rsidR="001C7681">
        <w:rPr>
          <w:rFonts w:ascii="Aptos" w:eastAsia="Aptos" w:hAnsi="Aptos" w:cs="Aptos"/>
        </w:rPr>
        <w:t>x</w:t>
      </w:r>
      <w:r w:rsidR="423EC121" w:rsidRPr="57A0AEF5">
        <w:rPr>
          <w:rFonts w:ascii="Aptos" w:eastAsia="Aptos" w:hAnsi="Aptos" w:cs="Aptos"/>
        </w:rPr>
        <w:t xml:space="preserve"> </w:t>
      </w:r>
      <w:r w:rsidR="6E2A9539" w:rsidRPr="57A0AEF5">
        <w:rPr>
          <w:rFonts w:ascii="Aptos" w:eastAsia="Aptos" w:hAnsi="Aptos" w:cs="Aptos"/>
        </w:rPr>
        <w:t>cabinet</w:t>
      </w:r>
      <w:r w:rsidR="48CE764A" w:rsidRPr="57A0AEF5">
        <w:rPr>
          <w:rFonts w:ascii="Aptos" w:eastAsia="Aptos" w:hAnsi="Aptos" w:cs="Aptos"/>
        </w:rPr>
        <w:t>s</w:t>
      </w:r>
      <w:r w:rsidR="6E2A9539" w:rsidRPr="57A0AEF5">
        <w:rPr>
          <w:rFonts w:ascii="Aptos" w:eastAsia="Aptos" w:hAnsi="Aptos" w:cs="Aptos"/>
        </w:rPr>
        <w:t xml:space="preserve"> du Premier ministre</w:t>
      </w:r>
      <w:r w:rsidR="7AAE19F7" w:rsidRPr="57A0AEF5">
        <w:rPr>
          <w:rFonts w:ascii="Aptos" w:eastAsia="Aptos" w:hAnsi="Aptos" w:cs="Aptos"/>
        </w:rPr>
        <w:t xml:space="preserve"> et du Président de la République</w:t>
      </w:r>
      <w:r w:rsidR="798820C4" w:rsidRPr="57A0AEF5">
        <w:rPr>
          <w:rFonts w:ascii="Aptos" w:eastAsia="Aptos" w:hAnsi="Aptos" w:cs="Aptos"/>
        </w:rPr>
        <w:t>,</w:t>
      </w:r>
      <w:r w:rsidR="19AE0552" w:rsidRPr="57A0AEF5">
        <w:rPr>
          <w:rFonts w:ascii="Aptos" w:eastAsia="Aptos" w:hAnsi="Aptos" w:cs="Aptos"/>
        </w:rPr>
        <w:t xml:space="preserve"> et il contenait</w:t>
      </w:r>
      <w:r w:rsidR="6E2A9539" w:rsidRPr="57A0AEF5">
        <w:rPr>
          <w:rFonts w:ascii="Aptos" w:eastAsia="Aptos" w:hAnsi="Aptos" w:cs="Aptos"/>
        </w:rPr>
        <w:t xml:space="preserve"> des affirmations </w:t>
      </w:r>
      <w:r w:rsidR="4CBAEB47" w:rsidRPr="57A0AEF5">
        <w:rPr>
          <w:rFonts w:ascii="Aptos" w:eastAsia="Aptos" w:hAnsi="Aptos" w:cs="Aptos"/>
        </w:rPr>
        <w:t>qui nous semblent potentiellement contradictoires</w:t>
      </w:r>
      <w:r w:rsidR="6E2A9539" w:rsidRPr="57A0AEF5">
        <w:rPr>
          <w:rFonts w:ascii="Aptos" w:eastAsia="Aptos" w:hAnsi="Aptos" w:cs="Aptos"/>
        </w:rPr>
        <w:t xml:space="preserve"> avec l’obligation déonto</w:t>
      </w:r>
      <w:r w:rsidR="3B41B22B" w:rsidRPr="57A0AEF5">
        <w:rPr>
          <w:rFonts w:ascii="Aptos" w:eastAsia="Aptos" w:hAnsi="Aptos" w:cs="Aptos"/>
        </w:rPr>
        <w:t>logique</w:t>
      </w:r>
      <w:r w:rsidRPr="57A0AEF5">
        <w:rPr>
          <w:rStyle w:val="Appelnotedebasdep"/>
          <w:rFonts w:ascii="Aptos" w:eastAsia="Aptos" w:hAnsi="Aptos" w:cs="Aptos"/>
        </w:rPr>
        <w:footnoteReference w:id="3"/>
      </w:r>
      <w:r w:rsidR="3B41B22B" w:rsidRPr="57A0AEF5">
        <w:rPr>
          <w:rFonts w:ascii="Aptos" w:eastAsia="Aptos" w:hAnsi="Aptos" w:cs="Aptos"/>
        </w:rPr>
        <w:t xml:space="preserve"> </w:t>
      </w:r>
      <w:r w:rsidR="1EF4BC62" w:rsidRPr="57A0AEF5">
        <w:rPr>
          <w:rFonts w:ascii="Aptos" w:eastAsia="Aptos" w:hAnsi="Aptos" w:cs="Aptos"/>
        </w:rPr>
        <w:t>imposé</w:t>
      </w:r>
      <w:r w:rsidR="3B41B22B" w:rsidRPr="57A0AEF5">
        <w:rPr>
          <w:rFonts w:ascii="Aptos" w:eastAsia="Aptos" w:hAnsi="Aptos" w:cs="Aptos"/>
        </w:rPr>
        <w:t>e aux représentants d’intérêts de : “</w:t>
      </w:r>
      <w:r w:rsidR="3B41B22B" w:rsidRPr="57A0AEF5">
        <w:rPr>
          <w:rFonts w:ascii="Aptos" w:eastAsia="Aptos" w:hAnsi="Aptos" w:cs="Aptos"/>
          <w:i/>
          <w:iCs/>
        </w:rPr>
        <w:t xml:space="preserve">S'abstenir d'obtenir ou d'essayer d'obtenir des informations ou décisions en </w:t>
      </w:r>
      <w:r w:rsidR="3B41B22B" w:rsidRPr="57A0AEF5">
        <w:rPr>
          <w:rFonts w:ascii="Aptos" w:eastAsia="Aptos" w:hAnsi="Aptos" w:cs="Aptos"/>
          <w:i/>
          <w:iCs/>
        </w:rPr>
        <w:lastRenderedPageBreak/>
        <w:t>communiquant délibérément à ces personnes des informations erronées ou en recourant à des manœuvres destinées à les tromper</w:t>
      </w:r>
      <w:r w:rsidR="3B41B22B" w:rsidRPr="57A0AEF5">
        <w:rPr>
          <w:rFonts w:ascii="Aptos" w:eastAsia="Aptos" w:hAnsi="Aptos" w:cs="Aptos"/>
        </w:rPr>
        <w:t>”</w:t>
      </w:r>
      <w:r w:rsidR="001C7681">
        <w:rPr>
          <w:rFonts w:ascii="Aptos" w:eastAsia="Aptos" w:hAnsi="Aptos" w:cs="Aptos"/>
        </w:rPr>
        <w:t>.</w:t>
      </w:r>
    </w:p>
    <w:p w14:paraId="631947E6" w14:textId="710AECEA" w:rsidR="00CD2042" w:rsidRDefault="5E2C05E1" w:rsidP="57A0AEF5">
      <w:pPr>
        <w:spacing w:after="322"/>
        <w:jc w:val="both"/>
        <w:rPr>
          <w:rFonts w:ascii="Aptos" w:eastAsia="Aptos" w:hAnsi="Aptos" w:cs="Aptos"/>
        </w:rPr>
      </w:pPr>
      <w:r w:rsidRPr="57A0AEF5">
        <w:rPr>
          <w:rFonts w:ascii="Aptos" w:eastAsia="Aptos" w:hAnsi="Aptos" w:cs="Aptos"/>
        </w:rPr>
        <w:t>Plus précisément, c</w:t>
      </w:r>
      <w:r w:rsidR="2C1A4E1A" w:rsidRPr="57A0AEF5">
        <w:rPr>
          <w:rFonts w:ascii="Aptos" w:eastAsia="Aptos" w:hAnsi="Aptos" w:cs="Aptos"/>
        </w:rPr>
        <w:t xml:space="preserve">ette violation nous semble </w:t>
      </w:r>
      <w:r w:rsidR="001C7681">
        <w:rPr>
          <w:rFonts w:ascii="Aptos" w:eastAsia="Aptos" w:hAnsi="Aptos" w:cs="Aptos"/>
        </w:rPr>
        <w:t>résulter de</w:t>
      </w:r>
      <w:r w:rsidR="2C1A4E1A" w:rsidRPr="57A0AEF5">
        <w:rPr>
          <w:rFonts w:ascii="Aptos" w:eastAsia="Aptos" w:hAnsi="Aptos" w:cs="Aptos"/>
        </w:rPr>
        <w:t xml:space="preserve"> l’usage des formules suivantes dans 2 documents joints à ce mail </w:t>
      </w:r>
      <w:r w:rsidR="5768DC28" w:rsidRPr="57A0AEF5">
        <w:rPr>
          <w:rFonts w:ascii="Aptos" w:eastAsia="Aptos" w:hAnsi="Aptos" w:cs="Aptos"/>
        </w:rPr>
        <w:t>:</w:t>
      </w:r>
    </w:p>
    <w:p w14:paraId="50238F66" w14:textId="09C6A9A0" w:rsidR="00CD2042" w:rsidRDefault="47C34BED" w:rsidP="57A0AEF5">
      <w:pPr>
        <w:pStyle w:val="Paragraphedeliste"/>
        <w:numPr>
          <w:ilvl w:val="0"/>
          <w:numId w:val="2"/>
        </w:numPr>
        <w:spacing w:after="322"/>
        <w:jc w:val="both"/>
        <w:rPr>
          <w:rFonts w:ascii="Aptos" w:eastAsia="Aptos" w:hAnsi="Aptos" w:cs="Aptos"/>
        </w:rPr>
      </w:pPr>
      <w:r>
        <w:t>“</w:t>
      </w:r>
      <w:proofErr w:type="spellStart"/>
      <w:r w:rsidRPr="57A0AEF5">
        <w:rPr>
          <w:i/>
          <w:iCs/>
        </w:rPr>
        <w:t>TotalEnergies</w:t>
      </w:r>
      <w:proofErr w:type="spellEnd"/>
      <w:r w:rsidRPr="57A0AEF5">
        <w:rPr>
          <w:i/>
          <w:iCs/>
        </w:rPr>
        <w:t xml:space="preserve"> réaffirme </w:t>
      </w:r>
      <w:r w:rsidRPr="007E21C3">
        <w:rPr>
          <w:i/>
          <w:iCs/>
          <w:u w:val="single"/>
        </w:rPr>
        <w:t>son ambition d’être un acteur majeur de la transition énergétique, d’être ainsi une compagnie Net Zéro en 2050</w:t>
      </w:r>
      <w:r w:rsidRPr="57A0AEF5">
        <w:rPr>
          <w:i/>
          <w:iCs/>
        </w:rPr>
        <w:t>, ensemble avec la société</w:t>
      </w:r>
      <w:r>
        <w:t>”. (Page 1 d</w:t>
      </w:r>
      <w:r w:rsidR="40145757">
        <w:t>u document “</w:t>
      </w:r>
      <w:r w:rsidR="40145757" w:rsidRPr="57A0AEF5">
        <w:rPr>
          <w:rFonts w:ascii="Aptos" w:eastAsia="Aptos" w:hAnsi="Aptos" w:cs="Aptos"/>
        </w:rPr>
        <w:t xml:space="preserve">Note TT Investissements </w:t>
      </w:r>
      <w:proofErr w:type="spellStart"/>
      <w:r w:rsidR="40145757" w:rsidRPr="57A0AEF5">
        <w:rPr>
          <w:rFonts w:ascii="Aptos" w:eastAsia="Aptos" w:hAnsi="Aptos" w:cs="Aptos"/>
        </w:rPr>
        <w:t>RENdocX</w:t>
      </w:r>
      <w:proofErr w:type="spellEnd"/>
      <w:r w:rsidR="40145757" w:rsidRPr="57A0AEF5">
        <w:rPr>
          <w:rFonts w:ascii="Aptos" w:eastAsia="Aptos" w:hAnsi="Aptos" w:cs="Aptos"/>
        </w:rPr>
        <w:t>”)</w:t>
      </w:r>
    </w:p>
    <w:p w14:paraId="39F9F855" w14:textId="4AB555EE" w:rsidR="00CD2042" w:rsidRDefault="47C34BED" w:rsidP="57A0AEF5">
      <w:pPr>
        <w:pStyle w:val="Paragraphedeliste"/>
        <w:numPr>
          <w:ilvl w:val="0"/>
          <w:numId w:val="2"/>
        </w:numPr>
        <w:spacing w:after="322"/>
        <w:jc w:val="both"/>
        <w:rPr>
          <w:rFonts w:ascii="Aptos" w:eastAsia="Aptos" w:hAnsi="Aptos" w:cs="Aptos"/>
        </w:rPr>
      </w:pPr>
      <w:r w:rsidRPr="57A0AEF5">
        <w:t>“</w:t>
      </w:r>
      <w:r w:rsidRPr="57A0AEF5">
        <w:rPr>
          <w:i/>
          <w:iCs/>
        </w:rPr>
        <w:t xml:space="preserve">En France, </w:t>
      </w:r>
      <w:proofErr w:type="spellStart"/>
      <w:r w:rsidRPr="57A0AEF5">
        <w:rPr>
          <w:i/>
          <w:iCs/>
        </w:rPr>
        <w:t>TotalEnergies</w:t>
      </w:r>
      <w:proofErr w:type="spellEnd"/>
      <w:r w:rsidRPr="57A0AEF5">
        <w:rPr>
          <w:i/>
          <w:iCs/>
        </w:rPr>
        <w:t xml:space="preserve"> a développé une feuille de route de décarbonation (...) </w:t>
      </w:r>
      <w:r w:rsidRPr="007E21C3">
        <w:rPr>
          <w:i/>
          <w:iCs/>
          <w:u w:val="single"/>
        </w:rPr>
        <w:t>pour atteindre le Net Zéro à l’horizon 2050</w:t>
      </w:r>
      <w:r w:rsidRPr="57A0AEF5">
        <w:rPr>
          <w:i/>
          <w:iCs/>
        </w:rPr>
        <w:t xml:space="preserve"> en cohérence avec l’ambition de la Compagnie</w:t>
      </w:r>
      <w:r w:rsidRPr="57A0AEF5">
        <w:t>”</w:t>
      </w:r>
      <w:r w:rsidR="645C18E4" w:rsidRPr="57A0AEF5">
        <w:t xml:space="preserve"> (Page 1 du document “</w:t>
      </w:r>
      <w:proofErr w:type="spellStart"/>
      <w:r w:rsidR="645C18E4" w:rsidRPr="57A0AEF5">
        <w:rPr>
          <w:rFonts w:ascii="Aptos" w:eastAsia="Aptos" w:hAnsi="Aptos" w:cs="Aptos"/>
        </w:rPr>
        <w:t>fiche_conversion</w:t>
      </w:r>
      <w:proofErr w:type="spellEnd"/>
      <w:r w:rsidR="645C18E4" w:rsidRPr="57A0AEF5">
        <w:rPr>
          <w:rFonts w:ascii="Aptos" w:eastAsia="Aptos" w:hAnsi="Aptos" w:cs="Aptos"/>
        </w:rPr>
        <w:t xml:space="preserve"> des raffineries”)</w:t>
      </w:r>
    </w:p>
    <w:p w14:paraId="7D78B6CA" w14:textId="79879BB9" w:rsidR="00CD2042" w:rsidRDefault="7FFAF645" w:rsidP="57A0AEF5">
      <w:pPr>
        <w:spacing w:after="322"/>
        <w:jc w:val="both"/>
        <w:rPr>
          <w:rFonts w:ascii="Aptos" w:eastAsia="Aptos" w:hAnsi="Aptos" w:cs="Aptos"/>
        </w:rPr>
      </w:pPr>
      <w:r w:rsidRPr="57A0AEF5">
        <w:rPr>
          <w:rFonts w:ascii="Aptos" w:eastAsia="Aptos" w:hAnsi="Aptos" w:cs="Aptos"/>
        </w:rPr>
        <w:t>En page 6 du document “</w:t>
      </w:r>
      <w:proofErr w:type="spellStart"/>
      <w:r w:rsidRPr="57A0AEF5">
        <w:rPr>
          <w:rFonts w:ascii="Aptos" w:eastAsia="Aptos" w:hAnsi="Aptos" w:cs="Aptos"/>
        </w:rPr>
        <w:t>fiche_reconversion</w:t>
      </w:r>
      <w:proofErr w:type="spellEnd"/>
      <w:r w:rsidRPr="57A0AEF5">
        <w:rPr>
          <w:rFonts w:ascii="Aptos" w:eastAsia="Aptos" w:hAnsi="Aptos" w:cs="Aptos"/>
        </w:rPr>
        <w:t xml:space="preserve"> des raffineries” sont évoquées les décisions publiques suivantes : la TIRUERT (</w:t>
      </w:r>
      <w:r w:rsidR="37B2C007" w:rsidRPr="57A0AEF5">
        <w:rPr>
          <w:rFonts w:ascii="Aptos" w:eastAsia="Aptos" w:hAnsi="Aptos" w:cs="Aptos"/>
          <w:lang w:val="fr"/>
        </w:rPr>
        <w:t>Taxe Incitative relative à l'utilisation de l'énergie renouvelable dans les transports) et le PLF. Il semble donc que l</w:t>
      </w:r>
      <w:r w:rsidR="1DA9282A" w:rsidRPr="57A0AEF5">
        <w:rPr>
          <w:rFonts w:ascii="Aptos" w:eastAsia="Aptos" w:hAnsi="Aptos" w:cs="Aptos"/>
          <w:lang w:val="fr"/>
        </w:rPr>
        <w:t xml:space="preserve">es formules précédentes ont visé </w:t>
      </w:r>
      <w:r w:rsidR="37B2C007" w:rsidRPr="57A0AEF5">
        <w:rPr>
          <w:rFonts w:ascii="Aptos" w:eastAsia="Aptos" w:hAnsi="Aptos" w:cs="Aptos"/>
          <w:lang w:val="fr"/>
        </w:rPr>
        <w:t xml:space="preserve">l’obtention de décisions publiques s’y rattachant. Cela pourrait correspondre aux activités </w:t>
      </w:r>
      <w:r w:rsidR="2183AD93" w:rsidRPr="57A0AEF5">
        <w:rPr>
          <w:rFonts w:ascii="Aptos" w:eastAsia="Aptos" w:hAnsi="Aptos" w:cs="Aptos"/>
          <w:lang w:val="fr"/>
        </w:rPr>
        <w:t xml:space="preserve">de représentations d’intérêts </w:t>
      </w:r>
      <w:r w:rsidR="37B2C007" w:rsidRPr="57A0AEF5">
        <w:rPr>
          <w:rFonts w:ascii="Aptos" w:eastAsia="Aptos" w:hAnsi="Aptos" w:cs="Aptos"/>
          <w:lang w:val="fr"/>
        </w:rPr>
        <w:t>su</w:t>
      </w:r>
      <w:r w:rsidR="11AFB246" w:rsidRPr="57A0AEF5">
        <w:rPr>
          <w:rFonts w:ascii="Aptos" w:eastAsia="Aptos" w:hAnsi="Aptos" w:cs="Aptos"/>
          <w:lang w:val="fr"/>
        </w:rPr>
        <w:t xml:space="preserve">ivantes </w:t>
      </w:r>
      <w:r w:rsidR="16F43A96" w:rsidRPr="57A0AEF5">
        <w:rPr>
          <w:rFonts w:ascii="Aptos" w:eastAsia="Aptos" w:hAnsi="Aptos" w:cs="Aptos"/>
        </w:rPr>
        <w:t xml:space="preserve">déclarées pour l’année 2024 par </w:t>
      </w:r>
      <w:proofErr w:type="spellStart"/>
      <w:r w:rsidR="16F43A96" w:rsidRPr="57A0AEF5">
        <w:rPr>
          <w:rFonts w:ascii="Aptos" w:eastAsia="Aptos" w:hAnsi="Aptos" w:cs="Aptos"/>
        </w:rPr>
        <w:t>TotalEnergies</w:t>
      </w:r>
      <w:proofErr w:type="spellEnd"/>
      <w:r w:rsidR="16F43A96" w:rsidRPr="57A0AEF5">
        <w:rPr>
          <w:rFonts w:ascii="Aptos" w:eastAsia="Aptos" w:hAnsi="Aptos" w:cs="Aptos"/>
        </w:rPr>
        <w:t xml:space="preserve"> SE</w:t>
      </w:r>
      <w:r w:rsidR="77D0576C" w:rsidRPr="57A0AEF5">
        <w:rPr>
          <w:rFonts w:ascii="Aptos" w:eastAsia="Aptos" w:hAnsi="Aptos" w:cs="Aptos"/>
        </w:rPr>
        <w:t xml:space="preserve"> comme ayant visé le Premier Ministre ou un membre de son cabinet :</w:t>
      </w:r>
    </w:p>
    <w:p w14:paraId="5C663A2B" w14:textId="54F61D2E" w:rsidR="00CD2042" w:rsidRDefault="5464EA25" w:rsidP="57A0AEF5">
      <w:pPr>
        <w:pStyle w:val="Paragraphedeliste"/>
        <w:numPr>
          <w:ilvl w:val="0"/>
          <w:numId w:val="1"/>
        </w:numPr>
        <w:spacing w:after="322"/>
        <w:jc w:val="both"/>
      </w:pPr>
      <w:r w:rsidRPr="57A0AEF5">
        <w:t>PLF 2025 : Expliquer les enjeux nationaux et internationaux relatifs au cours des actions des entreprises françaises attaché</w:t>
      </w:r>
      <w:r w:rsidR="001C7681">
        <w:t>e</w:t>
      </w:r>
      <w:r w:rsidRPr="57A0AEF5">
        <w:t xml:space="preserve">s au projet de création d’un dispositif fiscal </w:t>
      </w:r>
      <w:r>
        <w:tab/>
      </w:r>
      <w:r>
        <w:tab/>
      </w:r>
    </w:p>
    <w:p w14:paraId="0120FBB8" w14:textId="1A7D9C55" w:rsidR="00CD2042" w:rsidRDefault="5464EA25" w:rsidP="57A0AEF5">
      <w:pPr>
        <w:pStyle w:val="Paragraphedeliste"/>
        <w:numPr>
          <w:ilvl w:val="0"/>
          <w:numId w:val="1"/>
        </w:numPr>
        <w:spacing w:before="240" w:after="240" w:line="278" w:lineRule="auto"/>
        <w:jc w:val="both"/>
      </w:pPr>
      <w:r w:rsidRPr="57A0AEF5">
        <w:t xml:space="preserve">PLF 2025 : Expliquer les enjeux de rentabilité des moyens de production </w:t>
      </w:r>
      <w:r>
        <w:tab/>
      </w:r>
      <w:r w:rsidRPr="57A0AEF5">
        <w:t>concourant à la flexibilité du réseau électrique</w:t>
      </w:r>
      <w:r>
        <w:tab/>
      </w:r>
    </w:p>
    <w:p w14:paraId="416B8830" w14:textId="0FAB7ED2" w:rsidR="00CD2042" w:rsidRDefault="5464EA25" w:rsidP="57A0AEF5">
      <w:pPr>
        <w:pStyle w:val="Paragraphedeliste"/>
        <w:numPr>
          <w:ilvl w:val="0"/>
          <w:numId w:val="1"/>
        </w:numPr>
        <w:spacing w:before="240" w:after="240" w:line="278" w:lineRule="auto"/>
        <w:jc w:val="both"/>
      </w:pPr>
      <w:r w:rsidRPr="57A0AEF5">
        <w:t xml:space="preserve">PLF 2025 : Défendre auprès du Gouvernement la compétitivité des raffineries françaises et le renforcement des mécanismes d’incitation au </w:t>
      </w:r>
      <w:r>
        <w:tab/>
      </w:r>
      <w:r w:rsidRPr="57A0AEF5">
        <w:t xml:space="preserve">développement de l’hydrogène vert </w:t>
      </w:r>
      <w:r>
        <w:tab/>
      </w:r>
    </w:p>
    <w:p w14:paraId="7BABEF6A" w14:textId="69F96855" w:rsidR="00CD2042" w:rsidRDefault="5464EA25" w:rsidP="57A0AEF5">
      <w:pPr>
        <w:pStyle w:val="Paragraphedeliste"/>
        <w:numPr>
          <w:ilvl w:val="0"/>
          <w:numId w:val="1"/>
        </w:numPr>
        <w:spacing w:before="240" w:after="240" w:line="278" w:lineRule="auto"/>
        <w:jc w:val="both"/>
      </w:pPr>
      <w:r w:rsidRPr="57A0AEF5">
        <w:t xml:space="preserve">PLF 2025 : Défendre auprès des pouvoirs publics l’intérêt d’avoir des </w:t>
      </w:r>
      <w:r>
        <w:tab/>
      </w:r>
      <w:r w:rsidRPr="57A0AEF5">
        <w:t>niveaux d’obligation en carburants renouvelables dans la TIRUERT pour soutenir les productions nationales</w:t>
      </w:r>
    </w:p>
    <w:p w14:paraId="0214DB37" w14:textId="5ADBE135" w:rsidR="00CD2042" w:rsidRDefault="5464EA25" w:rsidP="57A0AEF5">
      <w:pPr>
        <w:pStyle w:val="Paragraphedeliste"/>
        <w:numPr>
          <w:ilvl w:val="0"/>
          <w:numId w:val="1"/>
        </w:numPr>
        <w:spacing w:before="240" w:after="240" w:line="278" w:lineRule="auto"/>
        <w:jc w:val="both"/>
      </w:pPr>
      <w:r w:rsidRPr="57A0AEF5">
        <w:t xml:space="preserve">PLF 2025 : Défendre auprès des pouvoirs publics l’intérêt de maintenir un </w:t>
      </w:r>
      <w:r>
        <w:tab/>
      </w:r>
      <w:r w:rsidRPr="57A0AEF5">
        <w:t xml:space="preserve">système incitatif applicable aux carburants aériens durables afin d’assurer l’obligation de leur incorporation en France </w:t>
      </w:r>
      <w:r>
        <w:tab/>
      </w:r>
    </w:p>
    <w:p w14:paraId="3EAC0AC5" w14:textId="2B9431B1" w:rsidR="00CD2042" w:rsidRDefault="6B1CEE98" w:rsidP="57A0AEF5">
      <w:pPr>
        <w:spacing w:after="322"/>
        <w:jc w:val="both"/>
        <w:rPr>
          <w:rFonts w:ascii="Aptos" w:eastAsia="Aptos" w:hAnsi="Aptos" w:cs="Aptos"/>
        </w:rPr>
      </w:pPr>
      <w:r w:rsidRPr="57A0AEF5">
        <w:rPr>
          <w:rFonts w:ascii="Aptos" w:eastAsia="Aptos" w:hAnsi="Aptos" w:cs="Aptos"/>
        </w:rPr>
        <w:lastRenderedPageBreak/>
        <w:t>Or</w:t>
      </w:r>
      <w:r w:rsidR="12D036DB" w:rsidRPr="57A0AEF5">
        <w:rPr>
          <w:rFonts w:ascii="Aptos" w:eastAsia="Aptos" w:hAnsi="Aptos" w:cs="Aptos"/>
        </w:rPr>
        <w:t>, dans une décision</w:t>
      </w:r>
      <w:r w:rsidRPr="57A0AEF5">
        <w:rPr>
          <w:rStyle w:val="Appelnotedebasdep"/>
          <w:rFonts w:ascii="Aptos" w:eastAsia="Aptos" w:hAnsi="Aptos" w:cs="Aptos"/>
        </w:rPr>
        <w:footnoteReference w:id="4"/>
      </w:r>
      <w:r w:rsidR="12D036DB" w:rsidRPr="57A0AEF5">
        <w:rPr>
          <w:rFonts w:ascii="Aptos" w:eastAsia="Aptos" w:hAnsi="Aptos" w:cs="Aptos"/>
        </w:rPr>
        <w:t xml:space="preserve"> du 23 octobre 2025, le tribunal judiciaire de Paris a</w:t>
      </w:r>
      <w:r w:rsidR="066E27F9" w:rsidRPr="57A0AEF5">
        <w:rPr>
          <w:rFonts w:ascii="Aptos" w:eastAsia="Aptos" w:hAnsi="Aptos" w:cs="Aptos"/>
        </w:rPr>
        <w:t xml:space="preserve"> considéré que les</w:t>
      </w:r>
      <w:r w:rsidR="12D036DB" w:rsidRPr="57A0AEF5">
        <w:rPr>
          <w:rFonts w:ascii="Aptos" w:eastAsia="Aptos" w:hAnsi="Aptos" w:cs="Aptos"/>
        </w:rPr>
        <w:t xml:space="preserve"> </w:t>
      </w:r>
      <w:r w:rsidR="4FD5D2A5" w:rsidRPr="57A0AEF5">
        <w:rPr>
          <w:rFonts w:ascii="Aptos" w:eastAsia="Aptos" w:hAnsi="Aptos" w:cs="Aptos"/>
        </w:rPr>
        <w:t xml:space="preserve">sociétés </w:t>
      </w:r>
      <w:proofErr w:type="spellStart"/>
      <w:r w:rsidR="4FD5D2A5" w:rsidRPr="57A0AEF5">
        <w:rPr>
          <w:rFonts w:ascii="Aptos" w:eastAsia="Aptos" w:hAnsi="Aptos" w:cs="Aptos"/>
        </w:rPr>
        <w:t>TotalEnergies</w:t>
      </w:r>
      <w:proofErr w:type="spellEnd"/>
      <w:r w:rsidR="4FD5D2A5" w:rsidRPr="57A0AEF5">
        <w:rPr>
          <w:rFonts w:ascii="Aptos" w:eastAsia="Aptos" w:hAnsi="Aptos" w:cs="Aptos"/>
        </w:rPr>
        <w:t xml:space="preserve"> et </w:t>
      </w:r>
      <w:proofErr w:type="spellStart"/>
      <w:r w:rsidR="4FD5D2A5" w:rsidRPr="57A0AEF5">
        <w:rPr>
          <w:rFonts w:ascii="Aptos" w:eastAsia="Aptos" w:hAnsi="Aptos" w:cs="Aptos"/>
        </w:rPr>
        <w:t>TotalEnergies</w:t>
      </w:r>
      <w:proofErr w:type="spellEnd"/>
      <w:r w:rsidR="4FD5D2A5" w:rsidRPr="57A0AEF5">
        <w:rPr>
          <w:rFonts w:ascii="Aptos" w:eastAsia="Aptos" w:hAnsi="Aptos" w:cs="Aptos"/>
        </w:rPr>
        <w:t xml:space="preserve"> Electricité et Gaz</w:t>
      </w:r>
      <w:r w:rsidR="1F9135C9" w:rsidRPr="57A0AEF5">
        <w:rPr>
          <w:rFonts w:ascii="Aptos" w:eastAsia="Aptos" w:hAnsi="Aptos" w:cs="Aptos"/>
        </w:rPr>
        <w:t xml:space="preserve"> </w:t>
      </w:r>
      <w:r w:rsidR="4FD5D2A5" w:rsidRPr="57A0AEF5">
        <w:rPr>
          <w:rFonts w:ascii="Aptos" w:eastAsia="Aptos" w:hAnsi="Aptos" w:cs="Aptos"/>
        </w:rPr>
        <w:t>France ont</w:t>
      </w:r>
      <w:r w:rsidR="22FF834D" w:rsidRPr="57A0AEF5">
        <w:rPr>
          <w:rFonts w:ascii="Aptos" w:eastAsia="Aptos" w:hAnsi="Aptos" w:cs="Aptos"/>
        </w:rPr>
        <w:t xml:space="preserve"> </w:t>
      </w:r>
      <w:r w:rsidR="001C7681">
        <w:rPr>
          <w:rFonts w:ascii="Aptos" w:eastAsia="Aptos" w:hAnsi="Aptos" w:cs="Aptos"/>
        </w:rPr>
        <w:t>recouru à</w:t>
      </w:r>
      <w:r w:rsidR="4FD5D2A5" w:rsidRPr="57A0AEF5">
        <w:rPr>
          <w:rFonts w:ascii="Aptos" w:eastAsia="Aptos" w:hAnsi="Aptos" w:cs="Aptos"/>
        </w:rPr>
        <w:t xml:space="preserve"> des pratiques commerciales trompeuses, en</w:t>
      </w:r>
      <w:r w:rsidR="63B65BDF" w:rsidRPr="57A0AEF5">
        <w:rPr>
          <w:rFonts w:ascii="Aptos" w:eastAsia="Aptos" w:hAnsi="Aptos" w:cs="Aptos"/>
        </w:rPr>
        <w:t xml:space="preserve"> </w:t>
      </w:r>
      <w:r w:rsidR="4FD5D2A5" w:rsidRPr="57A0AEF5">
        <w:rPr>
          <w:rFonts w:ascii="Aptos" w:eastAsia="Aptos" w:hAnsi="Aptos" w:cs="Aptos"/>
        </w:rPr>
        <w:t>diffusant, à partir du site</w:t>
      </w:r>
      <w:r w:rsidR="064615EC" w:rsidRPr="57A0AEF5">
        <w:rPr>
          <w:rFonts w:ascii="Aptos" w:eastAsia="Aptos" w:hAnsi="Aptos" w:cs="Aptos"/>
        </w:rPr>
        <w:t xml:space="preserve"> </w:t>
      </w:r>
      <w:hyperlink r:id="rId11">
        <w:r w:rsidR="4FD5D2A5" w:rsidRPr="57A0AEF5">
          <w:rPr>
            <w:rFonts w:ascii="Aptos" w:eastAsia="Aptos" w:hAnsi="Aptos" w:cs="Aptos"/>
          </w:rPr>
          <w:t>www.totalenergies.fr</w:t>
        </w:r>
      </w:hyperlink>
      <w:r w:rsidR="4FD5D2A5" w:rsidRPr="57A0AEF5">
        <w:rPr>
          <w:rFonts w:ascii="Aptos" w:eastAsia="Aptos" w:hAnsi="Aptos" w:cs="Aptos"/>
        </w:rPr>
        <w:t>, des messages reposant</w:t>
      </w:r>
      <w:r w:rsidR="2FA03403" w:rsidRPr="57A0AEF5">
        <w:rPr>
          <w:rFonts w:ascii="Aptos" w:eastAsia="Aptos" w:hAnsi="Aptos" w:cs="Aptos"/>
        </w:rPr>
        <w:t xml:space="preserve"> </w:t>
      </w:r>
      <w:r w:rsidR="4FD5D2A5" w:rsidRPr="57A0AEF5">
        <w:rPr>
          <w:rFonts w:ascii="Aptos" w:eastAsia="Aptos" w:hAnsi="Aptos" w:cs="Aptos"/>
        </w:rPr>
        <w:t>sur les allégations portant sur leur</w:t>
      </w:r>
      <w:r w:rsidR="2C3BBDB8" w:rsidRPr="57A0AEF5">
        <w:rPr>
          <w:rFonts w:ascii="Aptos" w:eastAsia="Aptos" w:hAnsi="Aptos" w:cs="Aptos"/>
        </w:rPr>
        <w:t xml:space="preserve"> </w:t>
      </w:r>
      <w:r w:rsidR="4FD5D2A5" w:rsidRPr="57A0AEF5">
        <w:rPr>
          <w:rFonts w:ascii="Aptos" w:eastAsia="Aptos" w:hAnsi="Aptos" w:cs="Aptos"/>
        </w:rPr>
        <w:t>“</w:t>
      </w:r>
      <w:r w:rsidR="4FD5D2A5" w:rsidRPr="00AF54B6">
        <w:rPr>
          <w:rFonts w:ascii="Aptos" w:eastAsia="Aptos" w:hAnsi="Aptos" w:cs="Aptos"/>
          <w:i/>
          <w:iCs/>
        </w:rPr>
        <w:t>ambition d'atteindre la neutralité</w:t>
      </w:r>
      <w:r w:rsidR="030AE658" w:rsidRPr="00AF54B6">
        <w:rPr>
          <w:rFonts w:ascii="Aptos" w:eastAsia="Aptos" w:hAnsi="Aptos" w:cs="Aptos"/>
          <w:i/>
          <w:iCs/>
        </w:rPr>
        <w:t xml:space="preserve"> </w:t>
      </w:r>
      <w:r w:rsidR="4FD5D2A5" w:rsidRPr="00AF54B6">
        <w:rPr>
          <w:rFonts w:ascii="Aptos" w:eastAsia="Aptos" w:hAnsi="Aptos" w:cs="Aptos"/>
          <w:i/>
          <w:iCs/>
        </w:rPr>
        <w:t xml:space="preserve">carbone d’ici 2050 </w:t>
      </w:r>
      <w:r w:rsidR="4FD5D2A5" w:rsidRPr="57A0AEF5">
        <w:rPr>
          <w:rFonts w:ascii="Aptos" w:eastAsia="Aptos" w:hAnsi="Aptos" w:cs="Aptos"/>
        </w:rPr>
        <w:t xml:space="preserve">" et " </w:t>
      </w:r>
      <w:r w:rsidR="4FD5D2A5" w:rsidRPr="00AF54B6">
        <w:rPr>
          <w:rFonts w:ascii="Aptos" w:eastAsia="Aptos" w:hAnsi="Aptos" w:cs="Aptos"/>
          <w:i/>
          <w:iCs/>
        </w:rPr>
        <w:t>d'être un acteur majeur de la transition</w:t>
      </w:r>
      <w:r w:rsidR="15121386" w:rsidRPr="00AF54B6">
        <w:rPr>
          <w:rFonts w:ascii="Aptos" w:eastAsia="Aptos" w:hAnsi="Aptos" w:cs="Aptos"/>
          <w:i/>
          <w:iCs/>
        </w:rPr>
        <w:t xml:space="preserve"> </w:t>
      </w:r>
      <w:r w:rsidR="4FD5D2A5" w:rsidRPr="00AF54B6">
        <w:rPr>
          <w:rFonts w:ascii="Aptos" w:eastAsia="Aptos" w:hAnsi="Aptos" w:cs="Aptos"/>
          <w:i/>
          <w:iCs/>
        </w:rPr>
        <w:t>énergétique</w:t>
      </w:r>
      <w:r w:rsidR="4FD5D2A5" w:rsidRPr="57A0AEF5">
        <w:rPr>
          <w:rFonts w:ascii="Aptos" w:eastAsia="Aptos" w:hAnsi="Aptos" w:cs="Aptos"/>
        </w:rPr>
        <w:t xml:space="preserve"> " de nature à induire en erreur le consommateur, sur la</w:t>
      </w:r>
      <w:r w:rsidR="503E991B" w:rsidRPr="57A0AEF5">
        <w:rPr>
          <w:rFonts w:ascii="Aptos" w:eastAsia="Aptos" w:hAnsi="Aptos" w:cs="Aptos"/>
        </w:rPr>
        <w:t xml:space="preserve"> </w:t>
      </w:r>
      <w:r w:rsidR="4FD5D2A5" w:rsidRPr="57A0AEF5">
        <w:rPr>
          <w:rFonts w:ascii="Aptos" w:eastAsia="Aptos" w:hAnsi="Aptos" w:cs="Aptos"/>
        </w:rPr>
        <w:t>portée des engagements environnementaux du Groupe</w:t>
      </w:r>
      <w:r w:rsidR="7B2B56A1" w:rsidRPr="57A0AEF5">
        <w:rPr>
          <w:rFonts w:ascii="Aptos" w:eastAsia="Aptos" w:hAnsi="Aptos" w:cs="Aptos"/>
        </w:rPr>
        <w:t>. Cette décision fait toujours aujourd’hui l’objet d’une communication sur le site totalenergies.fr</w:t>
      </w:r>
      <w:r w:rsidRPr="57A0AEF5">
        <w:rPr>
          <w:rStyle w:val="Appelnotedebasdep"/>
          <w:rFonts w:ascii="Aptos" w:eastAsia="Aptos" w:hAnsi="Aptos" w:cs="Aptos"/>
        </w:rPr>
        <w:footnoteReference w:id="5"/>
      </w:r>
      <w:r w:rsidR="7B2B56A1" w:rsidRPr="57A0AEF5">
        <w:rPr>
          <w:rFonts w:ascii="Aptos" w:eastAsia="Aptos" w:hAnsi="Aptos" w:cs="Aptos"/>
        </w:rPr>
        <w:t>, en ap</w:t>
      </w:r>
      <w:r w:rsidR="03D9972A" w:rsidRPr="57A0AEF5">
        <w:rPr>
          <w:rFonts w:ascii="Aptos" w:eastAsia="Aptos" w:hAnsi="Aptos" w:cs="Aptos"/>
        </w:rPr>
        <w:t xml:space="preserve">plication de la décision du tribunal. </w:t>
      </w:r>
    </w:p>
    <w:p w14:paraId="0BEB382E" w14:textId="322AA25E" w:rsidR="00CD2042" w:rsidRDefault="3A86074F" w:rsidP="57A0AEF5">
      <w:pPr>
        <w:spacing w:after="322"/>
        <w:jc w:val="both"/>
        <w:rPr>
          <w:rFonts w:ascii="Aptos" w:eastAsia="Aptos" w:hAnsi="Aptos" w:cs="Aptos"/>
        </w:rPr>
      </w:pPr>
      <w:r w:rsidRPr="57A0AEF5">
        <w:rPr>
          <w:rFonts w:ascii="Aptos" w:eastAsia="Aptos" w:hAnsi="Aptos" w:cs="Aptos"/>
        </w:rPr>
        <w:t>L</w:t>
      </w:r>
      <w:r w:rsidR="4F935A4C" w:rsidRPr="57A0AEF5">
        <w:rPr>
          <w:rFonts w:ascii="Aptos" w:eastAsia="Aptos" w:hAnsi="Aptos" w:cs="Aptos"/>
        </w:rPr>
        <w:t>’article L</w:t>
      </w:r>
      <w:r w:rsidR="001C7681">
        <w:rPr>
          <w:rFonts w:ascii="Aptos" w:eastAsia="Aptos" w:hAnsi="Aptos" w:cs="Aptos"/>
        </w:rPr>
        <w:t>. </w:t>
      </w:r>
      <w:r w:rsidR="4F935A4C" w:rsidRPr="57A0AEF5">
        <w:rPr>
          <w:rFonts w:ascii="Aptos" w:eastAsia="Aptos" w:hAnsi="Aptos" w:cs="Aptos"/>
        </w:rPr>
        <w:t>121-2 du Code de la consommation qui fonde cette décision est rédigé ainsi</w:t>
      </w:r>
      <w:r w:rsidR="001C7681">
        <w:rPr>
          <w:rFonts w:ascii="Aptos" w:eastAsia="Aptos" w:hAnsi="Aptos" w:cs="Aptos"/>
        </w:rPr>
        <w:t> </w:t>
      </w:r>
      <w:r w:rsidR="4F935A4C" w:rsidRPr="57A0AEF5">
        <w:rPr>
          <w:rFonts w:ascii="Aptos" w:eastAsia="Aptos" w:hAnsi="Aptos" w:cs="Aptos"/>
        </w:rPr>
        <w:t>: “</w:t>
      </w:r>
      <w:r w:rsidR="4903225E" w:rsidRPr="00AF54B6">
        <w:rPr>
          <w:rFonts w:ascii="Aptos" w:eastAsia="Aptos" w:hAnsi="Aptos" w:cs="Aptos"/>
          <w:i/>
          <w:iCs/>
        </w:rPr>
        <w:t xml:space="preserve">Une pratique commerciale est trompeuse si elle est commise dans l'une des circonstances suivantes : (...) 2° Lorsqu'elle repose sur des </w:t>
      </w:r>
      <w:r w:rsidR="4903225E" w:rsidRPr="00AF54B6">
        <w:rPr>
          <w:rFonts w:ascii="Aptos" w:eastAsia="Aptos" w:hAnsi="Aptos" w:cs="Aptos"/>
          <w:b/>
          <w:bCs/>
          <w:i/>
          <w:iCs/>
        </w:rPr>
        <w:t>allégations, indications ou présentations fausses ou de nature à induire en erreur</w:t>
      </w:r>
      <w:r w:rsidR="4903225E" w:rsidRPr="00AF54B6">
        <w:rPr>
          <w:rFonts w:ascii="Aptos" w:eastAsia="Aptos" w:hAnsi="Aptos" w:cs="Aptos"/>
          <w:i/>
          <w:iCs/>
        </w:rPr>
        <w:t xml:space="preserve"> et portant sur l'un ou plusieurs des éléments suivants :</w:t>
      </w:r>
      <w:r w:rsidR="43FF0B9D" w:rsidRPr="00AF54B6">
        <w:rPr>
          <w:rFonts w:ascii="Aptos" w:eastAsia="Aptos" w:hAnsi="Aptos" w:cs="Aptos"/>
          <w:i/>
          <w:iCs/>
        </w:rPr>
        <w:t xml:space="preserve"> (...) e) La portée des engagements de l'annonceur, notamment en matière environnementale</w:t>
      </w:r>
      <w:r w:rsidR="43FF0B9D" w:rsidRPr="57A0AEF5">
        <w:rPr>
          <w:rFonts w:ascii="Aptos" w:eastAsia="Aptos" w:hAnsi="Aptos" w:cs="Aptos"/>
        </w:rPr>
        <w:t>...”</w:t>
      </w:r>
    </w:p>
    <w:p w14:paraId="5572FB0D" w14:textId="28A3CB0A" w:rsidR="00CD2042" w:rsidRDefault="3DF4E513" w:rsidP="57A0AEF5">
      <w:pPr>
        <w:spacing w:after="322"/>
        <w:jc w:val="both"/>
        <w:rPr>
          <w:rFonts w:ascii="Aptos" w:eastAsia="Aptos" w:hAnsi="Aptos" w:cs="Aptos"/>
        </w:rPr>
      </w:pPr>
      <w:r w:rsidRPr="57A0AEF5">
        <w:rPr>
          <w:rFonts w:ascii="Aptos" w:eastAsia="Aptos" w:hAnsi="Aptos" w:cs="Aptos"/>
        </w:rPr>
        <w:t xml:space="preserve">Il nous semble donc que </w:t>
      </w:r>
      <w:proofErr w:type="spellStart"/>
      <w:r w:rsidRPr="57A0AEF5">
        <w:rPr>
          <w:rFonts w:ascii="Aptos" w:eastAsia="Aptos" w:hAnsi="Aptos" w:cs="Aptos"/>
        </w:rPr>
        <w:t>TotalEnergies</w:t>
      </w:r>
      <w:proofErr w:type="spellEnd"/>
      <w:r w:rsidRPr="57A0AEF5">
        <w:rPr>
          <w:rFonts w:ascii="Aptos" w:eastAsia="Aptos" w:hAnsi="Aptos" w:cs="Aptos"/>
        </w:rPr>
        <w:t xml:space="preserve"> Se a pu </w:t>
      </w:r>
      <w:r w:rsidR="00D20D3D">
        <w:rPr>
          <w:rFonts w:ascii="Aptos" w:eastAsia="Aptos" w:hAnsi="Aptos" w:cs="Aptos"/>
        </w:rPr>
        <w:t>tenter</w:t>
      </w:r>
      <w:r w:rsidR="7028C7B9" w:rsidRPr="57A0AEF5">
        <w:rPr>
          <w:rFonts w:ascii="Aptos" w:eastAsia="Aptos" w:hAnsi="Aptos" w:cs="Aptos"/>
        </w:rPr>
        <w:t xml:space="preserve"> le 21 mai 2024</w:t>
      </w:r>
      <w:r w:rsidRPr="57A0AEF5">
        <w:rPr>
          <w:rFonts w:ascii="Aptos" w:eastAsia="Aptos" w:hAnsi="Aptos" w:cs="Aptos"/>
        </w:rPr>
        <w:t xml:space="preserve"> </w:t>
      </w:r>
      <w:r w:rsidR="00D20D3D">
        <w:rPr>
          <w:rFonts w:ascii="Aptos" w:eastAsia="Aptos" w:hAnsi="Aptos" w:cs="Aptos"/>
        </w:rPr>
        <w:t>d’obtenir</w:t>
      </w:r>
      <w:r w:rsidRPr="57A0AEF5">
        <w:rPr>
          <w:rFonts w:ascii="Aptos" w:eastAsia="Aptos" w:hAnsi="Aptos" w:cs="Aptos"/>
        </w:rPr>
        <w:t xml:space="preserve"> des décisions</w:t>
      </w:r>
      <w:r w:rsidR="00D20D3D">
        <w:rPr>
          <w:rFonts w:ascii="Aptos" w:eastAsia="Aptos" w:hAnsi="Aptos" w:cs="Aptos"/>
        </w:rPr>
        <w:t xml:space="preserve"> publiques</w:t>
      </w:r>
      <w:r w:rsidRPr="57A0AEF5">
        <w:rPr>
          <w:rFonts w:ascii="Aptos" w:eastAsia="Aptos" w:hAnsi="Aptos" w:cs="Aptos"/>
        </w:rPr>
        <w:t xml:space="preserve"> en communiquant délibérément </w:t>
      </w:r>
      <w:r w:rsidR="1386A712" w:rsidRPr="57A0AEF5">
        <w:rPr>
          <w:rFonts w:ascii="Aptos" w:eastAsia="Aptos" w:hAnsi="Aptos" w:cs="Aptos"/>
        </w:rPr>
        <w:t xml:space="preserve">à </w:t>
      </w:r>
      <w:r w:rsidR="3C75C5CF" w:rsidRPr="57A0AEF5">
        <w:rPr>
          <w:rFonts w:ascii="Aptos" w:eastAsia="Aptos" w:hAnsi="Aptos" w:cs="Aptos"/>
        </w:rPr>
        <w:t>une personne mentionnée aux 1° et 3° de l'article 18-2 de la loi n°2013-907</w:t>
      </w:r>
      <w:r w:rsidR="43F3A547" w:rsidRPr="57A0AEF5">
        <w:rPr>
          <w:rFonts w:ascii="Aptos" w:eastAsia="Aptos" w:hAnsi="Aptos" w:cs="Aptos"/>
        </w:rPr>
        <w:t xml:space="preserve"> </w:t>
      </w:r>
      <w:r w:rsidRPr="57A0AEF5">
        <w:rPr>
          <w:rFonts w:ascii="Aptos" w:eastAsia="Aptos" w:hAnsi="Aptos" w:cs="Aptos"/>
        </w:rPr>
        <w:t>des informations erronées</w:t>
      </w:r>
      <w:r w:rsidR="1F03B226" w:rsidRPr="57A0AEF5">
        <w:rPr>
          <w:rFonts w:ascii="Aptos" w:eastAsia="Aptos" w:hAnsi="Aptos" w:cs="Aptos"/>
        </w:rPr>
        <w:t xml:space="preserve">. </w:t>
      </w:r>
    </w:p>
    <w:p w14:paraId="37E4D5C4" w14:textId="61D77861" w:rsidR="00CD2042" w:rsidRDefault="258C625F" w:rsidP="57A0AEF5">
      <w:pPr>
        <w:spacing w:after="322"/>
        <w:jc w:val="both"/>
        <w:rPr>
          <w:rFonts w:ascii="Aptos" w:eastAsia="Aptos" w:hAnsi="Aptos" w:cs="Aptos"/>
        </w:rPr>
      </w:pPr>
      <w:r w:rsidRPr="57A0AEF5">
        <w:rPr>
          <w:rFonts w:ascii="Aptos" w:eastAsia="Aptos" w:hAnsi="Aptos" w:cs="Aptos"/>
        </w:rPr>
        <w:t xml:space="preserve">Nous </w:t>
      </w:r>
      <w:r w:rsidR="22AAC958" w:rsidRPr="57A0AEF5">
        <w:rPr>
          <w:rFonts w:ascii="Aptos" w:eastAsia="Aptos" w:hAnsi="Aptos" w:cs="Aptos"/>
        </w:rPr>
        <w:t xml:space="preserve">vous proposons donc d’analyser </w:t>
      </w:r>
      <w:r w:rsidRPr="57A0AEF5">
        <w:rPr>
          <w:rFonts w:ascii="Aptos" w:eastAsia="Aptos" w:hAnsi="Aptos" w:cs="Aptos"/>
        </w:rPr>
        <w:t>notre signalement et</w:t>
      </w:r>
      <w:r w:rsidR="001C7681">
        <w:rPr>
          <w:rFonts w:ascii="Aptos" w:eastAsia="Aptos" w:hAnsi="Aptos" w:cs="Aptos"/>
        </w:rPr>
        <w:t>,</w:t>
      </w:r>
      <w:r w:rsidRPr="57A0AEF5">
        <w:rPr>
          <w:rFonts w:ascii="Aptos" w:eastAsia="Aptos" w:hAnsi="Aptos" w:cs="Aptos"/>
        </w:rPr>
        <w:t xml:space="preserve"> </w:t>
      </w:r>
      <w:r w:rsidR="00D20D3D">
        <w:rPr>
          <w:rFonts w:ascii="Aptos" w:eastAsia="Aptos" w:hAnsi="Aptos" w:cs="Aptos"/>
        </w:rPr>
        <w:t>en cas de manquement déontologique avéré</w:t>
      </w:r>
      <w:r w:rsidR="003A7978">
        <w:rPr>
          <w:rFonts w:ascii="Aptos" w:eastAsia="Aptos" w:hAnsi="Aptos" w:cs="Aptos"/>
        </w:rPr>
        <w:t>,</w:t>
      </w:r>
      <w:r w:rsidR="00D20D3D">
        <w:rPr>
          <w:rFonts w:ascii="Aptos" w:eastAsia="Aptos" w:hAnsi="Aptos" w:cs="Aptos"/>
        </w:rPr>
        <w:t xml:space="preserve"> </w:t>
      </w:r>
      <w:r w:rsidRPr="57A0AEF5">
        <w:rPr>
          <w:rFonts w:ascii="Aptos" w:eastAsia="Aptos" w:hAnsi="Aptos" w:cs="Aptos"/>
        </w:rPr>
        <w:t xml:space="preserve">d’adresser une mise en demeure </w:t>
      </w:r>
      <w:r w:rsidR="4353D05C" w:rsidRPr="57A0AEF5">
        <w:rPr>
          <w:rFonts w:ascii="Aptos" w:eastAsia="Aptos" w:hAnsi="Aptos" w:cs="Aptos"/>
        </w:rPr>
        <w:t xml:space="preserve">à </w:t>
      </w:r>
      <w:proofErr w:type="spellStart"/>
      <w:r w:rsidR="4353D05C" w:rsidRPr="57A0AEF5">
        <w:rPr>
          <w:rFonts w:ascii="Aptos" w:eastAsia="Aptos" w:hAnsi="Aptos" w:cs="Aptos"/>
        </w:rPr>
        <w:t>TotalEnergies</w:t>
      </w:r>
      <w:proofErr w:type="spellEnd"/>
      <w:r w:rsidR="4353D05C" w:rsidRPr="57A0AEF5">
        <w:rPr>
          <w:rFonts w:ascii="Aptos" w:eastAsia="Aptos" w:hAnsi="Aptos" w:cs="Aptos"/>
        </w:rPr>
        <w:t xml:space="preserve"> SE telle que prévue par l’article 18-7 de la loi n° 2013-907.</w:t>
      </w:r>
    </w:p>
    <w:p w14:paraId="767CDB05" w14:textId="6C30E008" w:rsidR="00CD2042" w:rsidRDefault="777E5BA0" w:rsidP="57A0AEF5">
      <w:pPr>
        <w:spacing w:after="322"/>
        <w:jc w:val="both"/>
        <w:rPr>
          <w:rFonts w:ascii="Aptos" w:eastAsia="Aptos" w:hAnsi="Aptos" w:cs="Aptos"/>
        </w:rPr>
      </w:pPr>
      <w:r w:rsidRPr="57A0AEF5">
        <w:rPr>
          <w:rFonts w:ascii="Aptos" w:eastAsia="Aptos" w:hAnsi="Aptos" w:cs="Aptos"/>
        </w:rPr>
        <w:t>Je vous prie d</w:t>
      </w:r>
      <w:r w:rsidR="003A7978">
        <w:rPr>
          <w:rFonts w:ascii="Aptos" w:eastAsia="Aptos" w:hAnsi="Aptos" w:cs="Aptos"/>
        </w:rPr>
        <w:t>e croire</w:t>
      </w:r>
      <w:r w:rsidRPr="57A0AEF5">
        <w:rPr>
          <w:rFonts w:ascii="Aptos" w:eastAsia="Aptos" w:hAnsi="Aptos" w:cs="Aptos"/>
        </w:rPr>
        <w:t xml:space="preserve">, Monsieur le Président, </w:t>
      </w:r>
      <w:r w:rsidR="003A7978">
        <w:rPr>
          <w:rFonts w:ascii="Aptos" w:eastAsia="Aptos" w:hAnsi="Aptos" w:cs="Aptos"/>
        </w:rPr>
        <w:t xml:space="preserve">en </w:t>
      </w:r>
      <w:r w:rsidRPr="57A0AEF5">
        <w:rPr>
          <w:rFonts w:ascii="Aptos" w:eastAsia="Aptos" w:hAnsi="Aptos" w:cs="Aptos"/>
        </w:rPr>
        <w:t>l’assurance de ma haute considération.</w:t>
      </w:r>
    </w:p>
    <w:p w14:paraId="5E196DEE" w14:textId="51E20F5D" w:rsidR="00CD2042" w:rsidRDefault="00CD2042" w:rsidP="57A0AEF5">
      <w:pPr>
        <w:spacing w:after="322"/>
        <w:jc w:val="both"/>
        <w:rPr>
          <w:rFonts w:ascii="Aptos" w:eastAsia="Aptos" w:hAnsi="Aptos" w:cs="Aptos"/>
        </w:rPr>
      </w:pPr>
    </w:p>
    <w:p w14:paraId="4B7718BC" w14:textId="09E3AD1C" w:rsidR="00CD2042" w:rsidRDefault="777E5BA0" w:rsidP="57A0AEF5">
      <w:pPr>
        <w:spacing w:after="322"/>
        <w:jc w:val="right"/>
        <w:rPr>
          <w:rFonts w:ascii="Aptos" w:eastAsia="Aptos" w:hAnsi="Aptos" w:cs="Aptos"/>
        </w:rPr>
      </w:pPr>
      <w:r w:rsidRPr="57A0AEF5">
        <w:rPr>
          <w:rFonts w:ascii="Aptos" w:eastAsia="Aptos" w:hAnsi="Aptos" w:cs="Aptos"/>
        </w:rPr>
        <w:t>Patrick Lefas</w:t>
      </w:r>
    </w:p>
    <w:p w14:paraId="3BFEFB25" w14:textId="7DB4616D" w:rsidR="00CD2042" w:rsidRDefault="00CD2042" w:rsidP="57A0AEF5">
      <w:pPr>
        <w:spacing w:after="322"/>
        <w:jc w:val="both"/>
        <w:rPr>
          <w:rFonts w:ascii="Aptos" w:eastAsia="Aptos" w:hAnsi="Aptos" w:cs="Aptos"/>
        </w:rPr>
      </w:pPr>
    </w:p>
    <w:p w14:paraId="23EB289B" w14:textId="77777777" w:rsidR="00C058C9" w:rsidRDefault="00C058C9" w:rsidP="57A0AEF5">
      <w:pPr>
        <w:spacing w:after="322"/>
        <w:jc w:val="both"/>
        <w:rPr>
          <w:rFonts w:ascii="Aptos" w:eastAsia="Aptos" w:hAnsi="Aptos" w:cs="Aptos"/>
        </w:rPr>
      </w:pPr>
    </w:p>
    <w:p w14:paraId="775391E0" w14:textId="7836BF36" w:rsidR="00C058C9" w:rsidRDefault="00C058C9" w:rsidP="57A0AEF5">
      <w:pPr>
        <w:spacing w:after="322"/>
        <w:jc w:val="both"/>
        <w:rPr>
          <w:rFonts w:ascii="Aptos" w:eastAsia="Aptos" w:hAnsi="Aptos" w:cs="Aptos"/>
          <w:b/>
          <w:bCs/>
          <w:i/>
          <w:iCs/>
          <w:u w:val="single"/>
        </w:rPr>
      </w:pPr>
      <w:r>
        <w:rPr>
          <w:rFonts w:ascii="Aptos" w:eastAsia="Aptos" w:hAnsi="Aptos" w:cs="Aptos"/>
          <w:b/>
          <w:bCs/>
          <w:i/>
          <w:iCs/>
          <w:u w:val="single"/>
        </w:rPr>
        <w:lastRenderedPageBreak/>
        <w:t>Mail envoyé le 21 mai 2024 par Jean-Claude Mallet, personne chargée d’activités de représentation d’intérêts pour le compte de Total Energies SE, à Christophe Leininger, Conseiller Energies du Premier ministre</w:t>
      </w:r>
    </w:p>
    <w:p w14:paraId="533D0343" w14:textId="77777777" w:rsidR="00C058C9" w:rsidRDefault="00C058C9" w:rsidP="57A0AEF5">
      <w:pPr>
        <w:spacing w:after="322"/>
        <w:jc w:val="both"/>
        <w:rPr>
          <w:rFonts w:ascii="Aptos" w:eastAsia="Aptos" w:hAnsi="Aptos" w:cs="Aptos"/>
          <w:b/>
          <w:bCs/>
          <w:i/>
          <w:iCs/>
          <w:u w:val="single"/>
        </w:rPr>
      </w:pPr>
    </w:p>
    <w:p w14:paraId="7B71E458" w14:textId="564318E1" w:rsidR="00C058C9" w:rsidRDefault="00C058C9" w:rsidP="57A0AEF5">
      <w:pPr>
        <w:spacing w:after="322"/>
        <w:jc w:val="both"/>
        <w:rPr>
          <w:rFonts w:ascii="Aptos" w:eastAsia="Aptos" w:hAnsi="Aptos" w:cs="Aptos"/>
          <w:b/>
          <w:bCs/>
          <w:i/>
          <w:iCs/>
          <w:u w:val="single"/>
        </w:rPr>
      </w:pPr>
      <w:r w:rsidRPr="00C058C9">
        <w:rPr>
          <w:rFonts w:ascii="Aptos" w:eastAsia="Aptos" w:hAnsi="Aptos" w:cs="Aptos"/>
          <w:b/>
          <w:bCs/>
          <w:i/>
          <w:iCs/>
          <w:u w:val="single"/>
        </w:rPr>
        <w:drawing>
          <wp:inline distT="0" distB="0" distL="0" distR="0" wp14:anchorId="671E4767" wp14:editId="0FA62831">
            <wp:extent cx="4635738" cy="1828894"/>
            <wp:effectExtent l="0" t="0" r="0" b="0"/>
            <wp:docPr id="6455229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522900" name=""/>
                    <pic:cNvPicPr/>
                  </pic:nvPicPr>
                  <pic:blipFill>
                    <a:blip r:embed="rId12"/>
                    <a:stretch>
                      <a:fillRect/>
                    </a:stretch>
                  </pic:blipFill>
                  <pic:spPr>
                    <a:xfrm>
                      <a:off x="0" y="0"/>
                      <a:ext cx="4635738" cy="1828894"/>
                    </a:xfrm>
                    <a:prstGeom prst="rect">
                      <a:avLst/>
                    </a:prstGeom>
                  </pic:spPr>
                </pic:pic>
              </a:graphicData>
            </a:graphic>
          </wp:inline>
        </w:drawing>
      </w:r>
    </w:p>
    <w:p w14:paraId="62F3B3F6" w14:textId="77777777" w:rsidR="00C058C9" w:rsidRDefault="00C058C9" w:rsidP="57A0AEF5">
      <w:pPr>
        <w:spacing w:after="322"/>
        <w:jc w:val="both"/>
        <w:rPr>
          <w:rFonts w:ascii="Aptos" w:eastAsia="Aptos" w:hAnsi="Aptos" w:cs="Aptos"/>
          <w:b/>
          <w:bCs/>
          <w:i/>
          <w:iCs/>
          <w:u w:val="single"/>
        </w:rPr>
      </w:pPr>
    </w:p>
    <w:p w14:paraId="0A284243" w14:textId="77777777" w:rsidR="00C058C9" w:rsidRDefault="00C058C9" w:rsidP="57A0AEF5">
      <w:pPr>
        <w:spacing w:after="322"/>
        <w:jc w:val="both"/>
        <w:rPr>
          <w:rFonts w:ascii="Aptos" w:eastAsia="Aptos" w:hAnsi="Aptos" w:cs="Aptos"/>
          <w:b/>
          <w:bCs/>
          <w:i/>
          <w:iCs/>
          <w:u w:val="single"/>
        </w:rPr>
      </w:pPr>
    </w:p>
    <w:p w14:paraId="42120743" w14:textId="77777777" w:rsidR="00C058C9" w:rsidRDefault="00C058C9" w:rsidP="57A0AEF5">
      <w:pPr>
        <w:spacing w:after="322"/>
        <w:jc w:val="both"/>
        <w:rPr>
          <w:rFonts w:ascii="Aptos" w:eastAsia="Aptos" w:hAnsi="Aptos" w:cs="Aptos"/>
          <w:b/>
          <w:bCs/>
          <w:i/>
          <w:iCs/>
          <w:u w:val="single"/>
        </w:rPr>
      </w:pPr>
    </w:p>
    <w:p w14:paraId="41A01D19" w14:textId="77777777" w:rsidR="00C058C9" w:rsidRDefault="00C058C9" w:rsidP="57A0AEF5">
      <w:pPr>
        <w:spacing w:after="322"/>
        <w:jc w:val="both"/>
        <w:rPr>
          <w:rFonts w:ascii="Aptos" w:eastAsia="Aptos" w:hAnsi="Aptos" w:cs="Aptos"/>
          <w:b/>
          <w:bCs/>
          <w:i/>
          <w:iCs/>
          <w:u w:val="single"/>
        </w:rPr>
      </w:pPr>
    </w:p>
    <w:p w14:paraId="44A81AC3" w14:textId="77777777" w:rsidR="00C058C9" w:rsidRDefault="00C058C9" w:rsidP="57A0AEF5">
      <w:pPr>
        <w:spacing w:after="322"/>
        <w:jc w:val="both"/>
        <w:rPr>
          <w:rFonts w:ascii="Aptos" w:eastAsia="Aptos" w:hAnsi="Aptos" w:cs="Aptos"/>
          <w:b/>
          <w:bCs/>
          <w:i/>
          <w:iCs/>
          <w:u w:val="single"/>
        </w:rPr>
      </w:pPr>
    </w:p>
    <w:p w14:paraId="20C87EB4" w14:textId="77777777" w:rsidR="00C058C9" w:rsidRDefault="00C058C9" w:rsidP="57A0AEF5">
      <w:pPr>
        <w:spacing w:after="322"/>
        <w:jc w:val="both"/>
        <w:rPr>
          <w:rFonts w:ascii="Aptos" w:eastAsia="Aptos" w:hAnsi="Aptos" w:cs="Aptos"/>
          <w:b/>
          <w:bCs/>
          <w:i/>
          <w:iCs/>
          <w:u w:val="single"/>
        </w:rPr>
      </w:pPr>
    </w:p>
    <w:p w14:paraId="254AB783" w14:textId="77777777" w:rsidR="00C058C9" w:rsidRDefault="00C058C9" w:rsidP="57A0AEF5">
      <w:pPr>
        <w:spacing w:after="322"/>
        <w:jc w:val="both"/>
        <w:rPr>
          <w:rFonts w:ascii="Aptos" w:eastAsia="Aptos" w:hAnsi="Aptos" w:cs="Aptos"/>
          <w:b/>
          <w:bCs/>
          <w:i/>
          <w:iCs/>
          <w:u w:val="single"/>
        </w:rPr>
      </w:pPr>
    </w:p>
    <w:p w14:paraId="40EB1767" w14:textId="77777777" w:rsidR="00C058C9" w:rsidRDefault="00C058C9" w:rsidP="57A0AEF5">
      <w:pPr>
        <w:spacing w:after="322"/>
        <w:jc w:val="both"/>
        <w:rPr>
          <w:rFonts w:ascii="Aptos" w:eastAsia="Aptos" w:hAnsi="Aptos" w:cs="Aptos"/>
          <w:b/>
          <w:bCs/>
          <w:i/>
          <w:iCs/>
          <w:u w:val="single"/>
        </w:rPr>
      </w:pPr>
    </w:p>
    <w:p w14:paraId="5767794C" w14:textId="77777777" w:rsidR="00C058C9" w:rsidRDefault="00C058C9" w:rsidP="57A0AEF5">
      <w:pPr>
        <w:spacing w:after="322"/>
        <w:jc w:val="both"/>
        <w:rPr>
          <w:rFonts w:ascii="Aptos" w:eastAsia="Aptos" w:hAnsi="Aptos" w:cs="Aptos"/>
          <w:b/>
          <w:bCs/>
          <w:i/>
          <w:iCs/>
          <w:u w:val="single"/>
        </w:rPr>
      </w:pPr>
    </w:p>
    <w:p w14:paraId="5779185A" w14:textId="77777777" w:rsidR="00C058C9" w:rsidRDefault="00C058C9" w:rsidP="57A0AEF5">
      <w:pPr>
        <w:spacing w:after="322"/>
        <w:jc w:val="both"/>
        <w:rPr>
          <w:rFonts w:ascii="Aptos" w:eastAsia="Aptos" w:hAnsi="Aptos" w:cs="Aptos"/>
          <w:b/>
          <w:bCs/>
          <w:i/>
          <w:iCs/>
          <w:u w:val="single"/>
        </w:rPr>
      </w:pPr>
    </w:p>
    <w:p w14:paraId="5D83DE6D" w14:textId="77777777" w:rsidR="00C058C9" w:rsidRDefault="00C058C9" w:rsidP="57A0AEF5">
      <w:pPr>
        <w:spacing w:after="322"/>
        <w:jc w:val="both"/>
        <w:rPr>
          <w:rFonts w:ascii="Aptos" w:eastAsia="Aptos" w:hAnsi="Aptos" w:cs="Aptos"/>
          <w:b/>
          <w:bCs/>
          <w:i/>
          <w:iCs/>
          <w:u w:val="single"/>
        </w:rPr>
      </w:pPr>
    </w:p>
    <w:p w14:paraId="7C211360" w14:textId="310E61C5" w:rsidR="00C058C9" w:rsidRDefault="004C2EF4" w:rsidP="57A0AEF5">
      <w:pPr>
        <w:spacing w:after="322"/>
        <w:jc w:val="both"/>
        <w:rPr>
          <w:rFonts w:ascii="Aptos" w:eastAsia="Aptos" w:hAnsi="Aptos" w:cs="Aptos"/>
          <w:b/>
          <w:bCs/>
          <w:i/>
          <w:iCs/>
          <w:u w:val="single"/>
        </w:rPr>
      </w:pPr>
      <w:r w:rsidRPr="00770986">
        <w:rPr>
          <w:rFonts w:ascii="Aptos" w:eastAsia="Aptos" w:hAnsi="Aptos" w:cs="Aptos"/>
          <w:b/>
          <w:bCs/>
          <w:i/>
          <w:iCs/>
          <w:u w:val="single"/>
        </w:rPr>
        <w:lastRenderedPageBreak/>
        <w:t>1</w:t>
      </w:r>
      <w:r w:rsidRPr="00770986">
        <w:rPr>
          <w:rFonts w:ascii="Aptos" w:eastAsia="Aptos" w:hAnsi="Aptos" w:cs="Aptos"/>
          <w:b/>
          <w:bCs/>
          <w:i/>
          <w:iCs/>
          <w:u w:val="single"/>
          <w:vertAlign w:val="superscript"/>
        </w:rPr>
        <w:t>ère</w:t>
      </w:r>
      <w:r w:rsidRPr="00770986">
        <w:rPr>
          <w:rFonts w:ascii="Aptos" w:eastAsia="Aptos" w:hAnsi="Aptos" w:cs="Aptos"/>
          <w:b/>
          <w:bCs/>
          <w:i/>
          <w:iCs/>
          <w:u w:val="single"/>
        </w:rPr>
        <w:t xml:space="preserve"> Note en pièce-jointe de ce mail du 21 mai 2024, </w:t>
      </w:r>
      <w:r w:rsidR="00D15889" w:rsidRPr="00770986">
        <w:rPr>
          <w:rFonts w:ascii="Aptos" w:eastAsia="Aptos" w:hAnsi="Aptos" w:cs="Aptos"/>
          <w:b/>
          <w:bCs/>
          <w:i/>
          <w:iCs/>
          <w:u w:val="single"/>
        </w:rPr>
        <w:t>intitulée « </w:t>
      </w:r>
      <w:proofErr w:type="spellStart"/>
      <w:r w:rsidR="00D15889" w:rsidRPr="00770986">
        <w:rPr>
          <w:rFonts w:ascii="Aptos" w:eastAsia="Aptos" w:hAnsi="Aptos" w:cs="Aptos"/>
          <w:b/>
          <w:bCs/>
          <w:i/>
          <w:iCs/>
          <w:u w:val="single"/>
        </w:rPr>
        <w:t>fiche_conversion</w:t>
      </w:r>
      <w:proofErr w:type="spellEnd"/>
      <w:r w:rsidR="00D15889" w:rsidRPr="00770986">
        <w:rPr>
          <w:rFonts w:ascii="Aptos" w:eastAsia="Aptos" w:hAnsi="Aptos" w:cs="Aptos"/>
          <w:b/>
          <w:bCs/>
          <w:i/>
          <w:iCs/>
          <w:u w:val="single"/>
        </w:rPr>
        <w:t xml:space="preserve"> des raffineries »</w:t>
      </w:r>
      <w:r w:rsidR="008901AC" w:rsidRPr="00770986">
        <w:rPr>
          <w:rFonts w:ascii="Aptos" w:eastAsia="Aptos" w:hAnsi="Aptos" w:cs="Aptos"/>
          <w:b/>
          <w:bCs/>
          <w:i/>
          <w:iCs/>
          <w:u w:val="single"/>
        </w:rPr>
        <w:t xml:space="preserve">, contenant des allégations considérées comme trompeuse dans le jugement du </w:t>
      </w:r>
      <w:r w:rsidR="00770986" w:rsidRPr="00770986">
        <w:rPr>
          <w:rFonts w:ascii="Aptos" w:eastAsia="Aptos" w:hAnsi="Aptos" w:cs="Aptos"/>
          <w:b/>
          <w:bCs/>
          <w:i/>
          <w:iCs/>
          <w:u w:val="single"/>
        </w:rPr>
        <w:t>23 octobre 2025 du Tribunal judiciaire de Paris</w:t>
      </w:r>
    </w:p>
    <w:p w14:paraId="17FA1429" w14:textId="77777777" w:rsidR="00770986" w:rsidRPr="00770986" w:rsidRDefault="00770986" w:rsidP="00770986">
      <w:pPr>
        <w:pBdr>
          <w:bottom w:val="single" w:sz="4" w:space="1" w:color="auto"/>
        </w:pBdr>
        <w:spacing w:after="322"/>
        <w:jc w:val="both"/>
        <w:rPr>
          <w:rFonts w:ascii="Aptos" w:eastAsia="Aptos" w:hAnsi="Aptos" w:cs="Aptos"/>
          <w:b/>
          <w:bCs/>
          <w:i/>
          <w:iCs/>
          <w:u w:val="single"/>
        </w:rPr>
      </w:pPr>
    </w:p>
    <w:p w14:paraId="0CC981FE" w14:textId="77777777" w:rsidR="00D15889" w:rsidRPr="003B19F3" w:rsidRDefault="00D15889" w:rsidP="00D15889">
      <w:pPr>
        <w:spacing w:after="120" w:line="276" w:lineRule="auto"/>
        <w:jc w:val="center"/>
        <w:rPr>
          <w:rFonts w:ascii="Arial" w:hAnsi="Arial" w:cs="Arial"/>
          <w:b/>
          <w:bCs/>
          <w:u w:val="single"/>
        </w:rPr>
      </w:pPr>
      <w:r w:rsidRPr="003B19F3">
        <w:rPr>
          <w:rFonts w:ascii="Arial" w:hAnsi="Arial" w:cs="Arial"/>
          <w:b/>
          <w:bCs/>
          <w:u w:val="single"/>
        </w:rPr>
        <w:t>Fiche conversion des raffineries</w:t>
      </w:r>
    </w:p>
    <w:p w14:paraId="298CB488" w14:textId="77777777" w:rsidR="00D15889" w:rsidRDefault="00D15889" w:rsidP="00D15889">
      <w:pPr>
        <w:spacing w:after="120" w:line="276" w:lineRule="auto"/>
        <w:jc w:val="both"/>
        <w:rPr>
          <w:rFonts w:ascii="Arial" w:hAnsi="Arial" w:cs="Arial"/>
        </w:rPr>
      </w:pPr>
    </w:p>
    <w:tbl>
      <w:tblPr>
        <w:tblStyle w:val="Grilledutableau"/>
        <w:tblW w:w="0" w:type="auto"/>
        <w:tblLook w:val="04A0" w:firstRow="1" w:lastRow="0" w:firstColumn="1" w:lastColumn="0" w:noHBand="0" w:noVBand="1"/>
      </w:tblPr>
      <w:tblGrid>
        <w:gridCol w:w="9016"/>
      </w:tblGrid>
      <w:tr w:rsidR="00D15889" w:rsidRPr="00385F96" w14:paraId="12BB4E96" w14:textId="77777777" w:rsidTr="005C1D58">
        <w:tc>
          <w:tcPr>
            <w:tcW w:w="9016" w:type="dxa"/>
          </w:tcPr>
          <w:p w14:paraId="15F69548" w14:textId="77777777" w:rsidR="00D15889" w:rsidRPr="00D77EE5" w:rsidRDefault="00D15889" w:rsidP="005C1D58">
            <w:pPr>
              <w:spacing w:after="120" w:line="276" w:lineRule="auto"/>
              <w:jc w:val="center"/>
              <w:textAlignment w:val="baseline"/>
              <w:rPr>
                <w:rFonts w:ascii="Arial" w:hAnsi="Arial" w:cs="Arial"/>
                <w:b/>
                <w:bCs/>
                <w:i/>
                <w:iCs/>
                <w:u w:val="single"/>
                <w:lang w:eastAsia="fr-FR"/>
              </w:rPr>
            </w:pPr>
            <w:r w:rsidRPr="00D77EE5">
              <w:rPr>
                <w:rFonts w:ascii="Arial" w:hAnsi="Arial" w:cs="Arial"/>
                <w:b/>
                <w:bCs/>
                <w:i/>
                <w:iCs/>
                <w:u w:val="single"/>
                <w:lang w:eastAsia="fr-FR"/>
              </w:rPr>
              <w:t xml:space="preserve">Messages et chiffres clés </w:t>
            </w:r>
          </w:p>
          <w:p w14:paraId="2FC9B6C3" w14:textId="77777777" w:rsidR="00D15889" w:rsidRPr="00386BF4" w:rsidRDefault="00D15889" w:rsidP="00D15889">
            <w:pPr>
              <w:pStyle w:val="Paragraphedeliste"/>
              <w:numPr>
                <w:ilvl w:val="0"/>
                <w:numId w:val="7"/>
              </w:numPr>
              <w:spacing w:after="120"/>
              <w:ind w:left="316" w:hanging="357"/>
              <w:contextualSpacing w:val="0"/>
              <w:jc w:val="both"/>
              <w:rPr>
                <w:rFonts w:ascii="Arial" w:hAnsi="Arial" w:cs="Arial"/>
                <w:bCs/>
                <w:lang w:val="fr-BE"/>
              </w:rPr>
            </w:pPr>
            <w:proofErr w:type="spellStart"/>
            <w:r w:rsidRPr="00386BF4">
              <w:rPr>
                <w:rFonts w:ascii="Arial" w:hAnsi="Arial" w:cs="Arial"/>
                <w:b/>
                <w:lang w:val="fr-BE"/>
              </w:rPr>
              <w:t>TotalEnergies</w:t>
            </w:r>
            <w:proofErr w:type="spellEnd"/>
            <w:r w:rsidRPr="00386BF4">
              <w:rPr>
                <w:rFonts w:ascii="Arial" w:hAnsi="Arial" w:cs="Arial"/>
                <w:b/>
                <w:lang w:val="fr-BE"/>
              </w:rPr>
              <w:t>, un acteur majeur dans les biocarburants, qui affiche une forte ambition dans les SAF</w:t>
            </w:r>
            <w:r>
              <w:rPr>
                <w:rFonts w:ascii="Arial" w:hAnsi="Arial" w:cs="Arial"/>
                <w:b/>
                <w:lang w:val="fr-BE"/>
              </w:rPr>
              <w:t> </w:t>
            </w:r>
            <w:r w:rsidRPr="00386BF4">
              <w:rPr>
                <w:rFonts w:ascii="Arial" w:hAnsi="Arial" w:cs="Arial"/>
                <w:b/>
                <w:lang w:val="fr-BE"/>
              </w:rPr>
              <w:t>: 1,5 Mt/a dès 2030</w:t>
            </w:r>
          </w:p>
          <w:p w14:paraId="687514E1" w14:textId="77777777" w:rsidR="00D15889" w:rsidRPr="00DF57C6" w:rsidRDefault="00D15889" w:rsidP="00D15889">
            <w:pPr>
              <w:numPr>
                <w:ilvl w:val="0"/>
                <w:numId w:val="6"/>
              </w:numPr>
              <w:spacing w:after="120"/>
              <w:ind w:hanging="357"/>
              <w:jc w:val="both"/>
              <w:rPr>
                <w:rFonts w:ascii="Arial" w:hAnsi="Arial" w:cs="Arial"/>
                <w:b/>
                <w:bCs/>
                <w:lang w:val="fr-BE"/>
              </w:rPr>
            </w:pPr>
            <w:r w:rsidRPr="38DF257A">
              <w:rPr>
                <w:rFonts w:ascii="Arial" w:hAnsi="Arial" w:cs="Arial"/>
                <w:lang w:val="fr-BE"/>
              </w:rPr>
              <w:t xml:space="preserve">2 raffineries transformées en bioraffineries </w:t>
            </w:r>
            <w:r w:rsidRPr="38DF257A">
              <w:rPr>
                <w:rFonts w:ascii="Arial" w:hAnsi="Arial" w:cs="Arial"/>
                <w:b/>
                <w:bCs/>
                <w:lang w:val="fr-BE"/>
              </w:rPr>
              <w:t>(La Mède (LM) 2019 340 M€ – Grandpuits (GPS) 2025 400 M€)</w:t>
            </w:r>
          </w:p>
          <w:p w14:paraId="6EAEE4DC" w14:textId="77777777" w:rsidR="00D15889" w:rsidRPr="00DF57C6" w:rsidRDefault="00D15889" w:rsidP="00D15889">
            <w:pPr>
              <w:numPr>
                <w:ilvl w:val="0"/>
                <w:numId w:val="6"/>
              </w:numPr>
              <w:spacing w:after="120"/>
              <w:ind w:hanging="357"/>
              <w:jc w:val="both"/>
              <w:rPr>
                <w:rFonts w:ascii="Arial" w:hAnsi="Arial" w:cs="Arial"/>
                <w:lang w:val="fr-BE"/>
              </w:rPr>
            </w:pPr>
            <w:r w:rsidRPr="38DF257A">
              <w:rPr>
                <w:rFonts w:ascii="Arial" w:hAnsi="Arial" w:cs="Arial"/>
                <w:lang w:val="fr-BE"/>
              </w:rPr>
              <w:t xml:space="preserve">Des plateformes d’avenir permettant le maintien d’emplois </w:t>
            </w:r>
            <w:r w:rsidRPr="38DF257A">
              <w:rPr>
                <w:rFonts w:ascii="Arial" w:hAnsi="Arial" w:cs="Arial"/>
                <w:b/>
                <w:bCs/>
                <w:lang w:val="fr-BE"/>
              </w:rPr>
              <w:t>(LM 250p – GPS 250p)</w:t>
            </w:r>
          </w:p>
          <w:p w14:paraId="468EC60E" w14:textId="77777777" w:rsidR="00D15889" w:rsidRPr="00DF57C6" w:rsidRDefault="00D15889" w:rsidP="00D15889">
            <w:pPr>
              <w:numPr>
                <w:ilvl w:val="0"/>
                <w:numId w:val="6"/>
              </w:numPr>
              <w:spacing w:after="120"/>
              <w:ind w:hanging="357"/>
              <w:jc w:val="both"/>
              <w:rPr>
                <w:rFonts w:ascii="Arial" w:hAnsi="Arial" w:cs="Arial"/>
                <w:bCs/>
                <w:lang w:val="fr-BE"/>
              </w:rPr>
            </w:pPr>
            <w:r w:rsidRPr="00970CB4">
              <w:rPr>
                <w:rFonts w:ascii="Arial" w:hAnsi="Arial" w:cs="Arial"/>
                <w:bCs/>
                <w:lang w:val="fr-BE"/>
              </w:rPr>
              <w:t>Dès 2028</w:t>
            </w:r>
            <w:r w:rsidRPr="00970CB4">
              <w:rPr>
                <w:rFonts w:ascii="Arial" w:hAnsi="Arial" w:cs="Arial"/>
                <w:b/>
                <w:lang w:val="fr-BE"/>
              </w:rPr>
              <w:t>,</w:t>
            </w:r>
            <w:r w:rsidRPr="00DF57C6">
              <w:rPr>
                <w:rFonts w:ascii="Arial" w:hAnsi="Arial" w:cs="Arial"/>
                <w:bCs/>
                <w:lang w:val="fr-BE"/>
              </w:rPr>
              <w:t xml:space="preserve"> la Compagnie sera en mesure de </w:t>
            </w:r>
            <w:r w:rsidRPr="00970CB4">
              <w:rPr>
                <w:rFonts w:ascii="Arial" w:hAnsi="Arial" w:cs="Arial"/>
                <w:b/>
                <w:lang w:val="fr-BE"/>
              </w:rPr>
              <w:t>produire un demi-million de tonnes de SAF</w:t>
            </w:r>
            <w:r w:rsidRPr="00DF57C6">
              <w:rPr>
                <w:rFonts w:ascii="Arial" w:hAnsi="Arial" w:cs="Arial"/>
                <w:bCs/>
                <w:lang w:val="fr-BE"/>
              </w:rPr>
              <w:t xml:space="preserve"> couvrant ainsi l’augmentation progressive des mandats européens d’incorporation de carburant aérien durable fixés à 6% à horizon 2030.</w:t>
            </w:r>
          </w:p>
          <w:p w14:paraId="6E50E3EB" w14:textId="77777777" w:rsidR="00D15889" w:rsidRDefault="00D15889" w:rsidP="00D15889">
            <w:pPr>
              <w:numPr>
                <w:ilvl w:val="0"/>
                <w:numId w:val="6"/>
              </w:numPr>
              <w:spacing w:after="120"/>
              <w:ind w:hanging="357"/>
              <w:jc w:val="both"/>
              <w:rPr>
                <w:rFonts w:ascii="Arial" w:hAnsi="Arial" w:cs="Arial"/>
                <w:bCs/>
              </w:rPr>
            </w:pPr>
            <w:r w:rsidRPr="00385F96">
              <w:rPr>
                <w:rFonts w:ascii="Arial" w:hAnsi="Arial" w:cs="Arial"/>
                <w:bCs/>
              </w:rPr>
              <w:t xml:space="preserve">Sur le seul périmètre français, </w:t>
            </w:r>
            <w:r w:rsidRPr="006F14D7">
              <w:rPr>
                <w:rFonts w:ascii="Arial" w:hAnsi="Arial" w:cs="Arial"/>
                <w:b/>
              </w:rPr>
              <w:t xml:space="preserve">la Compagnie a investi près de 340 M€ dans les biocarburants </w:t>
            </w:r>
            <w:r w:rsidRPr="00385F96">
              <w:rPr>
                <w:rFonts w:ascii="Arial" w:hAnsi="Arial" w:cs="Arial"/>
                <w:bCs/>
              </w:rPr>
              <w:t xml:space="preserve">sur les 5 dernières années (2018-2022), </w:t>
            </w:r>
            <w:r w:rsidRPr="006F14D7">
              <w:rPr>
                <w:rFonts w:ascii="Arial" w:hAnsi="Arial" w:cs="Arial"/>
                <w:b/>
              </w:rPr>
              <w:t xml:space="preserve">et </w:t>
            </w:r>
            <w:r w:rsidRPr="00E64935">
              <w:rPr>
                <w:rFonts w:ascii="Arial" w:hAnsi="Arial" w:cs="Arial"/>
                <w:b/>
              </w:rPr>
              <w:t>prévoit d’investir 520 M€</w:t>
            </w:r>
            <w:r w:rsidRPr="00385F96">
              <w:rPr>
                <w:rFonts w:ascii="Arial" w:hAnsi="Arial" w:cs="Arial"/>
                <w:bCs/>
              </w:rPr>
              <w:t xml:space="preserve"> sur les 5 prochaines années (2023-2027).</w:t>
            </w:r>
          </w:p>
          <w:p w14:paraId="3044B099" w14:textId="77777777" w:rsidR="00D15889" w:rsidRPr="001C4EE1" w:rsidRDefault="00D15889" w:rsidP="005C1D58">
            <w:pPr>
              <w:pStyle w:val="Paragraphedeliste"/>
              <w:spacing w:after="120"/>
              <w:ind w:left="316"/>
              <w:jc w:val="both"/>
              <w:rPr>
                <w:rFonts w:ascii="Arial" w:hAnsi="Arial" w:cs="Arial"/>
                <w:bCs/>
              </w:rPr>
            </w:pPr>
          </w:p>
          <w:p w14:paraId="5637ABBB" w14:textId="77777777" w:rsidR="00D15889" w:rsidRPr="00A27D46" w:rsidRDefault="00D15889" w:rsidP="00D15889">
            <w:pPr>
              <w:pStyle w:val="Paragraphedeliste"/>
              <w:numPr>
                <w:ilvl w:val="0"/>
                <w:numId w:val="7"/>
              </w:numPr>
              <w:spacing w:after="120"/>
              <w:ind w:left="316" w:hanging="357"/>
              <w:jc w:val="both"/>
              <w:rPr>
                <w:rFonts w:ascii="Arial" w:hAnsi="Arial" w:cs="Arial"/>
              </w:rPr>
            </w:pPr>
            <w:proofErr w:type="spellStart"/>
            <w:r w:rsidRPr="38DF257A">
              <w:rPr>
                <w:rFonts w:ascii="Arial" w:hAnsi="Arial" w:cs="Arial"/>
                <w:b/>
                <w:bCs/>
              </w:rPr>
              <w:t>TotalEnergies</w:t>
            </w:r>
            <w:proofErr w:type="spellEnd"/>
            <w:r w:rsidRPr="38DF257A">
              <w:rPr>
                <w:rFonts w:ascii="Arial" w:hAnsi="Arial" w:cs="Arial"/>
                <w:b/>
                <w:bCs/>
              </w:rPr>
              <w:t xml:space="preserve"> met à disposition de ses clients des produits (carburants et polymères) respectueux de l’environnement et compétitifs,</w:t>
            </w:r>
            <w:r w:rsidRPr="38DF257A">
              <w:rPr>
                <w:rFonts w:ascii="Arial" w:hAnsi="Arial" w:cs="Arial"/>
              </w:rPr>
              <w:t xml:space="preserve"> et ainsi constitue un facteur de différenciation générateur d’une valeur ajoutée significative. Pour cela </w:t>
            </w:r>
            <w:r w:rsidRPr="38DF257A">
              <w:rPr>
                <w:rFonts w:ascii="Arial" w:hAnsi="Arial" w:cs="Arial"/>
                <w:b/>
                <w:bCs/>
              </w:rPr>
              <w:t>la Compagnie souhaite capitaliser sur les actifs existants</w:t>
            </w:r>
            <w:r w:rsidRPr="38DF257A">
              <w:rPr>
                <w:rFonts w:ascii="Arial" w:hAnsi="Arial" w:cs="Arial"/>
              </w:rPr>
              <w:t> :</w:t>
            </w:r>
          </w:p>
          <w:p w14:paraId="30C41015" w14:textId="77777777" w:rsidR="00D15889" w:rsidRPr="00A27D46" w:rsidRDefault="00D15889" w:rsidP="00D15889">
            <w:pPr>
              <w:pStyle w:val="Paragraphedeliste"/>
              <w:numPr>
                <w:ilvl w:val="1"/>
                <w:numId w:val="8"/>
              </w:numPr>
              <w:spacing w:after="120"/>
              <w:ind w:hanging="357"/>
              <w:jc w:val="both"/>
              <w:rPr>
                <w:rFonts w:ascii="Arial" w:hAnsi="Arial" w:cs="Arial"/>
              </w:rPr>
            </w:pPr>
            <w:r w:rsidRPr="38DF257A">
              <w:rPr>
                <w:rFonts w:ascii="Arial" w:hAnsi="Arial" w:cs="Arial"/>
                <w:b/>
                <w:bCs/>
              </w:rPr>
              <w:t xml:space="preserve">Avec la conversion en bioraffineries </w:t>
            </w:r>
            <w:r w:rsidRPr="38DF257A">
              <w:rPr>
                <w:rFonts w:ascii="Arial" w:hAnsi="Arial" w:cs="Arial"/>
              </w:rPr>
              <w:t xml:space="preserve">de raffineries historiques comme LM et demain GPS, </w:t>
            </w:r>
          </w:p>
          <w:p w14:paraId="6CA9C5BA" w14:textId="77777777" w:rsidR="00D15889" w:rsidRPr="00A27D46" w:rsidRDefault="00D15889" w:rsidP="00D15889">
            <w:pPr>
              <w:pStyle w:val="Paragraphedeliste"/>
              <w:numPr>
                <w:ilvl w:val="1"/>
                <w:numId w:val="8"/>
              </w:numPr>
              <w:spacing w:after="120"/>
              <w:ind w:hanging="357"/>
              <w:contextualSpacing w:val="0"/>
              <w:jc w:val="both"/>
              <w:rPr>
                <w:rFonts w:ascii="Arial" w:hAnsi="Arial" w:cs="Arial"/>
                <w:bCs/>
              </w:rPr>
            </w:pPr>
            <w:r w:rsidRPr="001B3052">
              <w:rPr>
                <w:rFonts w:ascii="Arial" w:hAnsi="Arial" w:cs="Arial"/>
                <w:b/>
              </w:rPr>
              <w:t xml:space="preserve">Avec le développement du </w:t>
            </w:r>
            <w:proofErr w:type="spellStart"/>
            <w:r w:rsidRPr="001B3052">
              <w:rPr>
                <w:rFonts w:ascii="Arial" w:hAnsi="Arial" w:cs="Arial"/>
                <w:b/>
              </w:rPr>
              <w:t>co-processing</w:t>
            </w:r>
            <w:proofErr w:type="spellEnd"/>
            <w:r w:rsidRPr="00A27D46">
              <w:rPr>
                <w:rFonts w:ascii="Arial" w:hAnsi="Arial" w:cs="Arial"/>
                <w:bCs/>
              </w:rPr>
              <w:t>, qui consiste à produire des carburants durables dans les mêmes unités que celles qui produisent aujourd’hui les carburants</w:t>
            </w:r>
            <w:r>
              <w:rPr>
                <w:rFonts w:ascii="Arial" w:hAnsi="Arial" w:cs="Arial"/>
                <w:bCs/>
              </w:rPr>
              <w:t>,</w:t>
            </w:r>
            <w:r w:rsidRPr="00A27D46">
              <w:rPr>
                <w:rFonts w:ascii="Arial" w:hAnsi="Arial" w:cs="Arial"/>
                <w:bCs/>
              </w:rPr>
              <w:t xml:space="preserve"> </w:t>
            </w:r>
          </w:p>
          <w:p w14:paraId="48135114" w14:textId="77777777" w:rsidR="00D15889" w:rsidRDefault="00D15889" w:rsidP="00D15889">
            <w:pPr>
              <w:pStyle w:val="Paragraphedeliste"/>
              <w:numPr>
                <w:ilvl w:val="1"/>
                <w:numId w:val="8"/>
              </w:numPr>
              <w:spacing w:after="120"/>
              <w:ind w:hanging="357"/>
              <w:jc w:val="both"/>
              <w:rPr>
                <w:rFonts w:ascii="Arial" w:hAnsi="Arial" w:cs="Arial"/>
              </w:rPr>
            </w:pPr>
            <w:r w:rsidRPr="5A8C89E5">
              <w:rPr>
                <w:rFonts w:ascii="Arial" w:hAnsi="Arial" w:cs="Arial"/>
                <w:b/>
                <w:bCs/>
              </w:rPr>
              <w:t>Avec des investissements au sein de plateformes existantes</w:t>
            </w:r>
            <w:r w:rsidRPr="5A8C89E5">
              <w:rPr>
                <w:rFonts w:ascii="Arial" w:hAnsi="Arial" w:cs="Arial"/>
              </w:rPr>
              <w:t xml:space="preserve"> dans des nouvelles unités de production de carburants renouvelables, afin de maximiser les synergies,</w:t>
            </w:r>
          </w:p>
          <w:p w14:paraId="281A444F" w14:textId="77777777" w:rsidR="00D15889" w:rsidRPr="007306CA" w:rsidRDefault="00D15889" w:rsidP="00D15889">
            <w:pPr>
              <w:pStyle w:val="Paragraphedeliste"/>
              <w:numPr>
                <w:ilvl w:val="1"/>
                <w:numId w:val="8"/>
              </w:numPr>
              <w:spacing w:after="120"/>
              <w:ind w:hanging="357"/>
              <w:contextualSpacing w:val="0"/>
              <w:jc w:val="both"/>
              <w:rPr>
                <w:rFonts w:ascii="Arial" w:hAnsi="Arial" w:cs="Arial"/>
                <w:bCs/>
              </w:rPr>
            </w:pPr>
            <w:r>
              <w:rPr>
                <w:rFonts w:ascii="Arial" w:hAnsi="Arial" w:cs="Arial"/>
                <w:b/>
              </w:rPr>
              <w:t>Avec des collaborations techniques / R&amp;D</w:t>
            </w:r>
            <w:r w:rsidRPr="008C1E79">
              <w:rPr>
                <w:rFonts w:ascii="Arial" w:hAnsi="Arial" w:cs="Arial"/>
                <w:bCs/>
              </w:rPr>
              <w:t xml:space="preserve"> et la fourniture de bioproduits avec des grands acteurs industriels (</w:t>
            </w:r>
            <w:r>
              <w:rPr>
                <w:rFonts w:ascii="Arial" w:hAnsi="Arial" w:cs="Arial"/>
                <w:bCs/>
              </w:rPr>
              <w:t>type Safran ou Airbus, dans l’aviation).</w:t>
            </w:r>
          </w:p>
        </w:tc>
      </w:tr>
    </w:tbl>
    <w:p w14:paraId="36C299B3" w14:textId="77777777" w:rsidR="00D15889" w:rsidRDefault="00D15889" w:rsidP="00D15889">
      <w:pPr>
        <w:spacing w:after="120" w:line="276" w:lineRule="auto"/>
        <w:jc w:val="both"/>
        <w:textAlignment w:val="baseline"/>
        <w:rPr>
          <w:rFonts w:ascii="Arial" w:hAnsi="Arial" w:cs="Arial"/>
          <w:lang w:eastAsia="fr-FR"/>
        </w:rPr>
      </w:pPr>
    </w:p>
    <w:p w14:paraId="628F2D42" w14:textId="77777777" w:rsidR="00D15889" w:rsidRPr="007306CA" w:rsidRDefault="00D15889" w:rsidP="00D15889">
      <w:pPr>
        <w:spacing w:after="120" w:line="276" w:lineRule="auto"/>
        <w:jc w:val="both"/>
        <w:textAlignment w:val="baseline"/>
        <w:rPr>
          <w:rFonts w:ascii="Arial" w:hAnsi="Arial" w:cs="Arial"/>
          <w:lang w:eastAsia="fr-FR"/>
        </w:rPr>
      </w:pPr>
      <w:r w:rsidRPr="007306CA">
        <w:rPr>
          <w:rFonts w:ascii="Arial" w:hAnsi="Arial" w:cs="Arial"/>
          <w:lang w:eastAsia="fr-FR"/>
        </w:rPr>
        <w:lastRenderedPageBreak/>
        <w:t xml:space="preserve">L’engagement de la Compagnie dans la transition énergétique passe par le développement d’énergies bas carbone reposant sur </w:t>
      </w:r>
      <w:r w:rsidRPr="007306CA">
        <w:rPr>
          <w:rFonts w:ascii="Arial" w:hAnsi="Arial" w:cs="Arial"/>
          <w:b/>
          <w:bCs/>
          <w:lang w:eastAsia="fr-FR"/>
        </w:rPr>
        <w:t>la transformation de la biomasse, de déchets, ou sur la production des molécules de synthèse</w:t>
      </w:r>
      <w:r w:rsidRPr="007306CA">
        <w:rPr>
          <w:rFonts w:ascii="Arial" w:hAnsi="Arial" w:cs="Arial"/>
          <w:lang w:eastAsia="fr-FR"/>
        </w:rPr>
        <w:t xml:space="preserve"> associant Hydrogène et CO2 comme matières premières.</w:t>
      </w:r>
    </w:p>
    <w:p w14:paraId="29C836E3" w14:textId="77777777" w:rsidR="00D15889" w:rsidRPr="007306CA" w:rsidRDefault="00D15889" w:rsidP="00D15889">
      <w:pPr>
        <w:spacing w:after="120" w:line="276" w:lineRule="auto"/>
        <w:jc w:val="both"/>
        <w:textAlignment w:val="baseline"/>
        <w:rPr>
          <w:rFonts w:ascii="Arial" w:hAnsi="Arial" w:cs="Arial"/>
          <w:b/>
          <w:bCs/>
          <w:lang w:eastAsia="fr-FR"/>
        </w:rPr>
      </w:pPr>
      <w:r w:rsidRPr="007306CA">
        <w:rPr>
          <w:rFonts w:ascii="Arial" w:hAnsi="Arial" w:cs="Arial"/>
          <w:lang w:eastAsia="fr-FR"/>
        </w:rPr>
        <w:t xml:space="preserve">Les biocarburants émettant, sur l’ensemble de leur cycle de vie, a minima 50% de CO2 en moins que les carburants fossiles, sont un axe majeur de décarbonation. La Compagnie s’est engagée dans cette voie avec, à ce jour, </w:t>
      </w:r>
      <w:r w:rsidRPr="007306CA">
        <w:rPr>
          <w:rFonts w:ascii="Arial" w:hAnsi="Arial" w:cs="Arial"/>
          <w:b/>
          <w:bCs/>
          <w:lang w:eastAsia="fr-FR"/>
        </w:rPr>
        <w:t xml:space="preserve">la conversion de deux raffineries en </w:t>
      </w:r>
      <w:r>
        <w:rPr>
          <w:rFonts w:ascii="Arial" w:hAnsi="Arial" w:cs="Arial"/>
          <w:b/>
          <w:bCs/>
          <w:lang w:eastAsia="fr-FR"/>
        </w:rPr>
        <w:t>France.</w:t>
      </w:r>
    </w:p>
    <w:p w14:paraId="00EE6A40" w14:textId="77777777" w:rsidR="00D15889" w:rsidRPr="00EA0EF4" w:rsidRDefault="00D15889" w:rsidP="00D15889">
      <w:pPr>
        <w:spacing w:after="120" w:line="276" w:lineRule="auto"/>
        <w:jc w:val="both"/>
        <w:rPr>
          <w:rFonts w:ascii="Arial" w:hAnsi="Arial" w:cs="Arial"/>
        </w:rPr>
      </w:pPr>
    </w:p>
    <w:p w14:paraId="556ECD2D" w14:textId="77777777" w:rsidR="00D15889" w:rsidRPr="00590556" w:rsidRDefault="00D15889" w:rsidP="00D15889">
      <w:pPr>
        <w:spacing w:after="120" w:line="276" w:lineRule="auto"/>
        <w:jc w:val="both"/>
        <w:rPr>
          <w:rFonts w:ascii="Arial" w:hAnsi="Arial" w:cs="Arial"/>
          <w:lang w:val="fr-BE"/>
        </w:rPr>
      </w:pPr>
      <w:r w:rsidRPr="00590556">
        <w:rPr>
          <w:rFonts w:ascii="Arial" w:hAnsi="Arial" w:cs="Arial"/>
          <w:lang w:val="fr-BE"/>
        </w:rPr>
        <w:t xml:space="preserve">L’amélioration de </w:t>
      </w:r>
      <w:r w:rsidRPr="00EA0EF4">
        <w:rPr>
          <w:rFonts w:ascii="Arial" w:hAnsi="Arial" w:cs="Arial"/>
          <w:b/>
          <w:bCs/>
          <w:lang w:val="fr-BE"/>
        </w:rPr>
        <w:t>l’efficacité énergétique</w:t>
      </w:r>
      <w:r w:rsidRPr="00590556">
        <w:rPr>
          <w:rFonts w:ascii="Arial" w:hAnsi="Arial" w:cs="Arial"/>
          <w:lang w:val="fr-BE"/>
        </w:rPr>
        <w:t xml:space="preserve"> des sites industriels s’inscrit </w:t>
      </w:r>
      <w:r>
        <w:rPr>
          <w:rFonts w:ascii="Arial" w:hAnsi="Arial" w:cs="Arial"/>
          <w:lang w:val="fr-BE"/>
        </w:rPr>
        <w:t xml:space="preserve">aussi </w:t>
      </w:r>
      <w:r w:rsidRPr="00590556">
        <w:rPr>
          <w:rFonts w:ascii="Arial" w:hAnsi="Arial" w:cs="Arial"/>
          <w:lang w:val="fr-BE"/>
        </w:rPr>
        <w:t xml:space="preserve">dans la politique de la Compagnie depuis de nombreuses années. Dans le contexte des prix élevés des énergies depuis 2022, il est nécessaire d’accélérer les investissements dans ce domaine. </w:t>
      </w:r>
      <w:r w:rsidRPr="00C069E9">
        <w:rPr>
          <w:rFonts w:ascii="Arial" w:hAnsi="Arial" w:cs="Arial"/>
          <w:b/>
          <w:bCs/>
          <w:lang w:val="fr-BE"/>
        </w:rPr>
        <w:t xml:space="preserve">Un nouveau plan d’envergure de 1 </w:t>
      </w:r>
      <w:r>
        <w:rPr>
          <w:rFonts w:ascii="Arial" w:hAnsi="Arial" w:cs="Arial"/>
          <w:b/>
          <w:bCs/>
          <w:lang w:val="fr-BE"/>
        </w:rPr>
        <w:t>m</w:t>
      </w:r>
      <w:r w:rsidRPr="00C069E9">
        <w:rPr>
          <w:rFonts w:ascii="Arial" w:hAnsi="Arial" w:cs="Arial"/>
          <w:b/>
          <w:bCs/>
          <w:lang w:val="fr-BE"/>
        </w:rPr>
        <w:t>illiard de dollars (ESP - Energy Saving Plan</w:t>
      </w:r>
      <w:r w:rsidRPr="00D23F21">
        <w:rPr>
          <w:rFonts w:ascii="Arial" w:hAnsi="Arial" w:cs="Arial"/>
          <w:b/>
          <w:bCs/>
          <w:lang w:val="fr-BE"/>
        </w:rPr>
        <w:t xml:space="preserve">) </w:t>
      </w:r>
      <w:r w:rsidRPr="000F0E7E">
        <w:rPr>
          <w:rFonts w:ascii="Arial" w:hAnsi="Arial" w:cs="Arial"/>
          <w:lang w:val="fr-BE"/>
        </w:rPr>
        <w:t>a dès lors été déployé</w:t>
      </w:r>
      <w:r w:rsidRPr="00C51E5E">
        <w:rPr>
          <w:rFonts w:ascii="Arial" w:hAnsi="Arial" w:cs="Arial"/>
          <w:lang w:val="fr-BE"/>
        </w:rPr>
        <w:t xml:space="preserve"> au périmètre de la Compagnie </w:t>
      </w:r>
      <w:r w:rsidRPr="00590556">
        <w:rPr>
          <w:rFonts w:ascii="Arial" w:hAnsi="Arial" w:cs="Arial"/>
          <w:lang w:val="fr-BE"/>
        </w:rPr>
        <w:t xml:space="preserve">visant à </w:t>
      </w:r>
      <w:r w:rsidRPr="000F0E7E">
        <w:rPr>
          <w:rFonts w:ascii="Arial" w:hAnsi="Arial" w:cs="Arial"/>
          <w:b/>
          <w:bCs/>
          <w:lang w:val="fr-BE"/>
        </w:rPr>
        <w:t>réduire près de 5% de la consommation d’énergie à horizon 2025</w:t>
      </w:r>
      <w:r w:rsidRPr="00590556">
        <w:rPr>
          <w:rFonts w:ascii="Arial" w:hAnsi="Arial" w:cs="Arial"/>
          <w:lang w:val="fr-BE"/>
        </w:rPr>
        <w:t xml:space="preserve">. Cela consiste à </w:t>
      </w:r>
      <w:r w:rsidRPr="00C81A98">
        <w:rPr>
          <w:rFonts w:ascii="Arial" w:hAnsi="Arial" w:cs="Arial"/>
          <w:b/>
          <w:bCs/>
          <w:lang w:val="fr-BE"/>
        </w:rPr>
        <w:t xml:space="preserve">investir </w:t>
      </w:r>
      <w:r>
        <w:rPr>
          <w:rFonts w:ascii="Arial" w:hAnsi="Arial" w:cs="Arial"/>
          <w:b/>
          <w:bCs/>
          <w:lang w:val="fr-BE"/>
        </w:rPr>
        <w:t>environ 400</w:t>
      </w:r>
      <w:r w:rsidRPr="00C81A98">
        <w:rPr>
          <w:rFonts w:ascii="Arial" w:hAnsi="Arial" w:cs="Arial"/>
          <w:b/>
          <w:bCs/>
          <w:lang w:val="fr-BE"/>
        </w:rPr>
        <w:t xml:space="preserve"> millions </w:t>
      </w:r>
      <w:r>
        <w:rPr>
          <w:rFonts w:ascii="Arial" w:hAnsi="Arial" w:cs="Arial"/>
          <w:b/>
          <w:bCs/>
          <w:lang w:val="fr-BE"/>
        </w:rPr>
        <w:t xml:space="preserve">en 2023 et 2024 </w:t>
      </w:r>
      <w:r w:rsidRPr="00B04C00">
        <w:rPr>
          <w:rFonts w:ascii="Arial" w:hAnsi="Arial" w:cs="Arial"/>
          <w:b/>
          <w:bCs/>
          <w:lang w:val="fr-BE"/>
        </w:rPr>
        <w:t xml:space="preserve">sur </w:t>
      </w:r>
      <w:r w:rsidRPr="00B04C00">
        <w:rPr>
          <w:rFonts w:ascii="Arial" w:hAnsi="Arial" w:cs="Arial"/>
          <w:b/>
          <w:bCs/>
        </w:rPr>
        <w:t>les sites de la branche Raffinage-Chimie en Europe</w:t>
      </w:r>
      <w:r w:rsidRPr="00C51967">
        <w:rPr>
          <w:rFonts w:ascii="Arial" w:hAnsi="Arial" w:cs="Arial"/>
        </w:rPr>
        <w:t xml:space="preserve"> permettant d’économiser environ</w:t>
      </w:r>
      <w:r w:rsidRPr="00C51967">
        <w:rPr>
          <w:rFonts w:ascii="Arial" w:hAnsi="Arial" w:cs="Arial"/>
          <w:b/>
          <w:bCs/>
        </w:rPr>
        <w:t xml:space="preserve"> </w:t>
      </w:r>
      <w:r>
        <w:rPr>
          <w:rFonts w:ascii="Arial" w:hAnsi="Arial" w:cs="Arial"/>
          <w:b/>
          <w:bCs/>
        </w:rPr>
        <w:t>1 Mt/an de CO2</w:t>
      </w:r>
      <w:r w:rsidRPr="00D23F21">
        <w:rPr>
          <w:rFonts w:ascii="Arial" w:hAnsi="Arial" w:cs="Arial"/>
          <w:lang w:val="fr-BE"/>
        </w:rPr>
        <w:t>.</w:t>
      </w:r>
      <w:r w:rsidRPr="00590556">
        <w:rPr>
          <w:rFonts w:ascii="Arial" w:hAnsi="Arial" w:cs="Arial"/>
          <w:lang w:val="fr-BE"/>
        </w:rPr>
        <w:t xml:space="preserve"> Les efforts seront poursuivis après 2025.</w:t>
      </w:r>
    </w:p>
    <w:p w14:paraId="16C20C78" w14:textId="77777777" w:rsidR="00D15889" w:rsidRDefault="00D15889" w:rsidP="00D15889">
      <w:pPr>
        <w:pStyle w:val="paragraph"/>
        <w:spacing w:before="0" w:beforeAutospacing="0" w:after="120" w:afterAutospacing="0" w:line="276" w:lineRule="auto"/>
        <w:jc w:val="both"/>
        <w:textAlignment w:val="baseline"/>
        <w:rPr>
          <w:rStyle w:val="normaltextrun"/>
          <w:rFonts w:ascii="Arial" w:hAnsi="Arial" w:cs="Arial"/>
          <w:b/>
          <w:bCs/>
        </w:rPr>
      </w:pPr>
    </w:p>
    <w:p w14:paraId="2D6523B9" w14:textId="77777777" w:rsidR="00D15889" w:rsidRPr="00ED796B" w:rsidRDefault="00D15889" w:rsidP="00D15889">
      <w:pPr>
        <w:pStyle w:val="paragraph"/>
        <w:spacing w:before="0" w:beforeAutospacing="0" w:after="120" w:afterAutospacing="0" w:line="276" w:lineRule="auto"/>
        <w:jc w:val="both"/>
        <w:textAlignment w:val="baseline"/>
        <w:rPr>
          <w:rFonts w:ascii="Arial" w:hAnsi="Arial" w:cs="Arial"/>
        </w:rPr>
      </w:pPr>
      <w:r w:rsidRPr="5A8C89E5">
        <w:rPr>
          <w:rStyle w:val="normaltextrun"/>
          <w:rFonts w:ascii="Arial" w:hAnsi="Arial" w:cs="Arial"/>
          <w:b/>
          <w:bCs/>
        </w:rPr>
        <w:t xml:space="preserve">En France, </w:t>
      </w:r>
      <w:proofErr w:type="spellStart"/>
      <w:r w:rsidRPr="5A8C89E5">
        <w:rPr>
          <w:rStyle w:val="normaltextrun"/>
          <w:rFonts w:ascii="Arial" w:hAnsi="Arial" w:cs="Arial"/>
        </w:rPr>
        <w:t>TotalEnergies</w:t>
      </w:r>
      <w:proofErr w:type="spellEnd"/>
      <w:r w:rsidRPr="5A8C89E5">
        <w:rPr>
          <w:rStyle w:val="normaltextrun"/>
          <w:rFonts w:ascii="Arial" w:hAnsi="Arial" w:cs="Arial"/>
        </w:rPr>
        <w:t xml:space="preserve"> a développé </w:t>
      </w:r>
      <w:r w:rsidRPr="5A8C89E5">
        <w:rPr>
          <w:rStyle w:val="normaltextrun"/>
          <w:rFonts w:ascii="Arial" w:hAnsi="Arial" w:cs="Arial"/>
          <w:b/>
          <w:bCs/>
        </w:rPr>
        <w:t xml:space="preserve">une feuille de route de décarbonation, </w:t>
      </w:r>
      <w:r w:rsidRPr="5A8C89E5">
        <w:rPr>
          <w:rStyle w:val="normaltextrun"/>
          <w:rFonts w:ascii="Arial" w:hAnsi="Arial" w:cs="Arial"/>
        </w:rPr>
        <w:t xml:space="preserve">contenant les plateformes de Feyzin, Normandie, Donges, La Mède et Grandpuits, qui permet des réductions des émissions de GES Scope 1 et 2 de </w:t>
      </w:r>
      <w:r w:rsidRPr="5A8C89E5">
        <w:rPr>
          <w:rStyle w:val="normaltextrun"/>
          <w:rFonts w:ascii="Arial" w:hAnsi="Arial" w:cs="Arial"/>
          <w:b/>
          <w:bCs/>
        </w:rPr>
        <w:t>plus de 50% à horizon 2030</w:t>
      </w:r>
      <w:r w:rsidRPr="5A8C89E5">
        <w:rPr>
          <w:rStyle w:val="normaltextrun"/>
          <w:rFonts w:ascii="Arial" w:hAnsi="Arial" w:cs="Arial"/>
        </w:rPr>
        <w:t xml:space="preserve"> pour atteindre le Net Zéro à horizon 2050 en cohérence avec l’ambition de la Compagnie.</w:t>
      </w:r>
      <w:r w:rsidRPr="5A8C89E5">
        <w:rPr>
          <w:rStyle w:val="eop"/>
          <w:rFonts w:ascii="Arial" w:hAnsi="Arial" w:cs="Arial"/>
        </w:rPr>
        <w:t> </w:t>
      </w:r>
    </w:p>
    <w:p w14:paraId="1C1838AA" w14:textId="77777777" w:rsidR="00D15889" w:rsidRDefault="00D15889" w:rsidP="00D15889">
      <w:pPr>
        <w:pStyle w:val="paragraph"/>
        <w:spacing w:before="0" w:beforeAutospacing="0" w:after="120" w:afterAutospacing="0" w:line="276" w:lineRule="auto"/>
        <w:jc w:val="both"/>
        <w:textAlignment w:val="baseline"/>
        <w:rPr>
          <w:rStyle w:val="eop"/>
          <w:rFonts w:ascii="Arial" w:hAnsi="Arial" w:cs="Arial"/>
        </w:rPr>
      </w:pPr>
      <w:r w:rsidRPr="5A8C89E5">
        <w:rPr>
          <w:rStyle w:val="normaltextrun"/>
          <w:rFonts w:ascii="Arial" w:hAnsi="Arial" w:cs="Arial"/>
          <w:b/>
          <w:bCs/>
        </w:rPr>
        <w:t>La réduction des émissions</w:t>
      </w:r>
      <w:r w:rsidRPr="5A8C89E5">
        <w:rPr>
          <w:rStyle w:val="normaltextrun"/>
          <w:rFonts w:ascii="Arial" w:hAnsi="Arial" w:cs="Arial"/>
        </w:rPr>
        <w:t xml:space="preserve"> </w:t>
      </w:r>
      <w:r w:rsidRPr="5A8C89E5">
        <w:rPr>
          <w:rStyle w:val="normaltextrun"/>
          <w:rFonts w:ascii="Arial" w:hAnsi="Arial" w:cs="Arial"/>
          <w:b/>
          <w:bCs/>
        </w:rPr>
        <w:t>entre 2015 et 2030</w:t>
      </w:r>
      <w:r w:rsidRPr="5A8C89E5">
        <w:rPr>
          <w:rStyle w:val="normaltextrun"/>
          <w:rFonts w:ascii="Arial" w:hAnsi="Arial" w:cs="Arial"/>
        </w:rPr>
        <w:t xml:space="preserve"> sera obtenue entre autres grâce à l’utilisation d’électricité verte, un programme d’efficacité énergétique récemment renforcé, le brûlage d’H2 bas carbone, quelques projets d’électrification et la transformation déjà engagée de La Mède et Grandpuits.</w:t>
      </w:r>
      <w:r w:rsidRPr="5A8C89E5">
        <w:rPr>
          <w:rStyle w:val="eop"/>
          <w:rFonts w:ascii="Arial" w:hAnsi="Arial" w:cs="Arial"/>
        </w:rPr>
        <w:t> </w:t>
      </w:r>
    </w:p>
    <w:p w14:paraId="68429E08" w14:textId="77777777" w:rsidR="00D15889" w:rsidRPr="00ED796B" w:rsidRDefault="00D15889" w:rsidP="00D15889">
      <w:pPr>
        <w:pStyle w:val="paragraph"/>
        <w:spacing w:before="0" w:beforeAutospacing="0" w:after="120" w:afterAutospacing="0" w:line="276" w:lineRule="auto"/>
        <w:jc w:val="both"/>
        <w:textAlignment w:val="baseline"/>
        <w:rPr>
          <w:rFonts w:ascii="Arial" w:hAnsi="Arial" w:cs="Arial"/>
        </w:rPr>
      </w:pPr>
      <w:r w:rsidRPr="00A716B3">
        <w:rPr>
          <w:rStyle w:val="normaltextrun"/>
          <w:rFonts w:ascii="Arial" w:hAnsi="Arial" w:cs="Arial"/>
          <w:b/>
          <w:bCs/>
        </w:rPr>
        <w:t>D’autres solutions de décarbonation devront être déployées</w:t>
      </w:r>
      <w:r w:rsidRPr="00ED796B">
        <w:rPr>
          <w:rStyle w:val="normaltextrun"/>
          <w:rFonts w:ascii="Arial" w:hAnsi="Arial" w:cs="Arial"/>
        </w:rPr>
        <w:t xml:space="preserve"> </w:t>
      </w:r>
      <w:r w:rsidRPr="007A70D9">
        <w:rPr>
          <w:rStyle w:val="normaltextrun"/>
          <w:rFonts w:ascii="Arial" w:hAnsi="Arial" w:cs="Arial"/>
          <w:b/>
          <w:bCs/>
        </w:rPr>
        <w:t>après 2030</w:t>
      </w:r>
      <w:r w:rsidRPr="00ED796B">
        <w:rPr>
          <w:rStyle w:val="normaltextrun"/>
          <w:rFonts w:ascii="Arial" w:hAnsi="Arial" w:cs="Arial"/>
        </w:rPr>
        <w:t xml:space="preserve"> telles que l’utilisation de combustible bas carbone comme le biogaz, l’H2 décarboné, un renforcement des projets d’électrification et potentiellement des projets de capture de CO2.</w:t>
      </w:r>
      <w:r w:rsidRPr="00ED796B">
        <w:rPr>
          <w:rStyle w:val="eop"/>
          <w:rFonts w:ascii="Arial" w:hAnsi="Arial" w:cs="Arial"/>
        </w:rPr>
        <w:t> </w:t>
      </w:r>
    </w:p>
    <w:p w14:paraId="5EB595A9" w14:textId="77777777" w:rsidR="00D15889" w:rsidRPr="00ED796B" w:rsidRDefault="00D15889" w:rsidP="00D15889">
      <w:pPr>
        <w:pStyle w:val="paragraph"/>
        <w:spacing w:before="0" w:beforeAutospacing="0" w:after="120" w:afterAutospacing="0" w:line="276" w:lineRule="auto"/>
        <w:jc w:val="both"/>
        <w:textAlignment w:val="baseline"/>
        <w:rPr>
          <w:rFonts w:ascii="Arial" w:hAnsi="Arial" w:cs="Arial"/>
        </w:rPr>
      </w:pPr>
    </w:p>
    <w:tbl>
      <w:tblPr>
        <w:tblStyle w:val="Grilledutableau"/>
        <w:tblW w:w="0" w:type="auto"/>
        <w:tblLook w:val="04A0" w:firstRow="1" w:lastRow="0" w:firstColumn="1" w:lastColumn="0" w:noHBand="0" w:noVBand="1"/>
      </w:tblPr>
      <w:tblGrid>
        <w:gridCol w:w="9016"/>
      </w:tblGrid>
      <w:tr w:rsidR="00D15889" w14:paraId="3BB068E3" w14:textId="77777777" w:rsidTr="005C1D58">
        <w:tc>
          <w:tcPr>
            <w:tcW w:w="9016" w:type="dxa"/>
          </w:tcPr>
          <w:p w14:paraId="773B5ECA" w14:textId="77777777" w:rsidR="00D15889" w:rsidRPr="00604DF3" w:rsidRDefault="00D15889" w:rsidP="00D15889">
            <w:pPr>
              <w:pStyle w:val="paragraph"/>
              <w:numPr>
                <w:ilvl w:val="0"/>
                <w:numId w:val="3"/>
              </w:numPr>
              <w:spacing w:before="0" w:beforeAutospacing="0" w:after="120" w:afterAutospacing="0" w:line="276" w:lineRule="auto"/>
              <w:jc w:val="both"/>
              <w:textAlignment w:val="baseline"/>
              <w:rPr>
                <w:rStyle w:val="normaltextrun"/>
                <w:rFonts w:ascii="Arial" w:hAnsi="Arial" w:cs="Arial"/>
              </w:rPr>
            </w:pPr>
            <w:r w:rsidRPr="00604DF3">
              <w:rPr>
                <w:rStyle w:val="normaltextrun"/>
                <w:rFonts w:ascii="Arial" w:hAnsi="Arial" w:cs="Arial"/>
                <w:b/>
                <w:bCs/>
              </w:rPr>
              <w:t>Un Contrat de transition écologique</w:t>
            </w:r>
            <w:r w:rsidRPr="00604DF3">
              <w:rPr>
                <w:rStyle w:val="normaltextrun"/>
                <w:rFonts w:ascii="Arial" w:hAnsi="Arial" w:cs="Arial"/>
              </w:rPr>
              <w:t xml:space="preserve"> pour formaliser cette feuille de route a été signé entre </w:t>
            </w:r>
            <w:proofErr w:type="spellStart"/>
            <w:r w:rsidRPr="00604DF3">
              <w:rPr>
                <w:rStyle w:val="normaltextrun"/>
                <w:rFonts w:ascii="Arial" w:hAnsi="Arial" w:cs="Arial"/>
              </w:rPr>
              <w:t>TotalEnergies</w:t>
            </w:r>
            <w:proofErr w:type="spellEnd"/>
            <w:r w:rsidRPr="00604DF3">
              <w:rPr>
                <w:rStyle w:val="normaltextrun"/>
                <w:rFonts w:ascii="Arial" w:hAnsi="Arial" w:cs="Arial"/>
              </w:rPr>
              <w:t xml:space="preserve"> Raffinage France et le Ministre en charge de l’Industrie le 15 novembre 2023.</w:t>
            </w:r>
          </w:p>
        </w:tc>
      </w:tr>
    </w:tbl>
    <w:p w14:paraId="79B4AFE4" w14:textId="77777777" w:rsidR="00D15889" w:rsidRDefault="00D15889" w:rsidP="00D15889">
      <w:pPr>
        <w:spacing w:after="120" w:line="276" w:lineRule="auto"/>
        <w:jc w:val="both"/>
        <w:rPr>
          <w:rFonts w:ascii="Arial" w:hAnsi="Arial" w:cs="Arial"/>
          <w:b/>
          <w:bCs/>
          <w:u w:val="single"/>
        </w:rPr>
      </w:pPr>
    </w:p>
    <w:p w14:paraId="23CCBF75" w14:textId="77777777" w:rsidR="00D15889" w:rsidRDefault="00D15889" w:rsidP="00D15889">
      <w:pPr>
        <w:jc w:val="center"/>
        <w:rPr>
          <w:rFonts w:ascii="Arial" w:hAnsi="Arial" w:cs="Arial"/>
          <w:b/>
          <w:bCs/>
          <w:u w:val="single"/>
        </w:rPr>
      </w:pPr>
      <w:r>
        <w:rPr>
          <w:rFonts w:ascii="Arial" w:hAnsi="Arial" w:cs="Arial"/>
          <w:b/>
          <w:bCs/>
          <w:u w:val="single"/>
        </w:rPr>
        <w:br w:type="page"/>
      </w:r>
      <w:r>
        <w:rPr>
          <w:rFonts w:ascii="Arial" w:hAnsi="Arial" w:cs="Arial"/>
          <w:b/>
          <w:bCs/>
          <w:u w:val="single"/>
        </w:rPr>
        <w:lastRenderedPageBreak/>
        <w:t>Annexe 1 –T</w:t>
      </w:r>
      <w:r w:rsidRPr="00500846">
        <w:rPr>
          <w:rFonts w:ascii="Arial" w:hAnsi="Arial" w:cs="Arial"/>
          <w:b/>
          <w:bCs/>
          <w:u w:val="single"/>
        </w:rPr>
        <w:t>ypes de biocarburants et carburants bas carbone</w:t>
      </w:r>
    </w:p>
    <w:p w14:paraId="00D9A846" w14:textId="77777777" w:rsidR="00D15889" w:rsidRPr="009517C8" w:rsidRDefault="00D15889" w:rsidP="00D15889">
      <w:pPr>
        <w:spacing w:after="120" w:line="276" w:lineRule="auto"/>
        <w:ind w:left="360"/>
        <w:jc w:val="both"/>
        <w:rPr>
          <w:rFonts w:ascii="Arial" w:hAnsi="Arial" w:cs="Arial"/>
        </w:rPr>
      </w:pPr>
    </w:p>
    <w:p w14:paraId="391944D2" w14:textId="77777777" w:rsidR="00D15889" w:rsidRPr="00500846" w:rsidRDefault="00D15889" w:rsidP="00D15889">
      <w:pPr>
        <w:numPr>
          <w:ilvl w:val="0"/>
          <w:numId w:val="4"/>
        </w:numPr>
        <w:spacing w:after="120" w:line="276" w:lineRule="auto"/>
        <w:jc w:val="both"/>
        <w:rPr>
          <w:rFonts w:ascii="Arial" w:hAnsi="Arial" w:cs="Arial"/>
        </w:rPr>
      </w:pPr>
      <w:r w:rsidRPr="00E9549C">
        <w:rPr>
          <w:rFonts w:ascii="Arial" w:hAnsi="Arial" w:cs="Arial"/>
          <w:b/>
          <w:bCs/>
        </w:rPr>
        <w:t xml:space="preserve">Le bioéthanol, </w:t>
      </w:r>
      <w:r w:rsidRPr="006D04EA">
        <w:rPr>
          <w:rFonts w:ascii="Arial" w:hAnsi="Arial" w:cs="Arial"/>
        </w:rPr>
        <w:t>à base de sucre,</w:t>
      </w:r>
      <w:r w:rsidRPr="00500846">
        <w:rPr>
          <w:rFonts w:ascii="Arial" w:hAnsi="Arial" w:cs="Arial"/>
        </w:rPr>
        <w:t xml:space="preserve"> est incorporé </w:t>
      </w:r>
      <w:r w:rsidRPr="006D04EA">
        <w:rPr>
          <w:rFonts w:ascii="Arial" w:hAnsi="Arial" w:cs="Arial"/>
          <w:b/>
          <w:bCs/>
        </w:rPr>
        <w:t>dans les essences,</w:t>
      </w:r>
      <w:r w:rsidRPr="00500846">
        <w:rPr>
          <w:rFonts w:ascii="Arial" w:hAnsi="Arial" w:cs="Arial"/>
        </w:rPr>
        <w:t xml:space="preserve"> et </w:t>
      </w:r>
      <w:r w:rsidRPr="006D04EA">
        <w:rPr>
          <w:rFonts w:ascii="Arial" w:hAnsi="Arial" w:cs="Arial"/>
          <w:b/>
          <w:bCs/>
        </w:rPr>
        <w:t>les esters (EMAG), fabriqués à partir d’huiles végétales,</w:t>
      </w:r>
      <w:r w:rsidRPr="00500846">
        <w:rPr>
          <w:rFonts w:ascii="Arial" w:hAnsi="Arial" w:cs="Arial"/>
        </w:rPr>
        <w:t xml:space="preserve"> sont incorporés </w:t>
      </w:r>
      <w:r w:rsidRPr="006D04EA">
        <w:rPr>
          <w:rFonts w:ascii="Arial" w:hAnsi="Arial" w:cs="Arial"/>
          <w:b/>
          <w:bCs/>
        </w:rPr>
        <w:t xml:space="preserve">dans le diesel </w:t>
      </w:r>
      <w:r w:rsidRPr="00500846">
        <w:rPr>
          <w:rFonts w:ascii="Arial" w:hAnsi="Arial" w:cs="Arial"/>
        </w:rPr>
        <w:t xml:space="preserve">mais </w:t>
      </w:r>
      <w:r w:rsidRPr="006D04EA">
        <w:rPr>
          <w:rFonts w:ascii="Arial" w:hAnsi="Arial" w:cs="Arial"/>
        </w:rPr>
        <w:t>limités à 7 %</w:t>
      </w:r>
      <w:r w:rsidRPr="00500846">
        <w:rPr>
          <w:rFonts w:ascii="Arial" w:hAnsi="Arial" w:cs="Arial"/>
        </w:rPr>
        <w:t xml:space="preserve"> (voire 10%) afin de ne pas endommager le fonctionnement des moteurs et de répondre aux normes d’émission. </w:t>
      </w:r>
    </w:p>
    <w:p w14:paraId="1971F965" w14:textId="77777777" w:rsidR="00D15889" w:rsidRPr="009517C8" w:rsidRDefault="00D15889" w:rsidP="00D15889">
      <w:pPr>
        <w:spacing w:after="120" w:line="276" w:lineRule="auto"/>
        <w:ind w:left="357"/>
        <w:jc w:val="both"/>
        <w:rPr>
          <w:rFonts w:ascii="Arial" w:hAnsi="Arial" w:cs="Arial"/>
        </w:rPr>
      </w:pPr>
    </w:p>
    <w:p w14:paraId="4479531C" w14:textId="77777777" w:rsidR="00D15889" w:rsidRPr="00907C63" w:rsidRDefault="00D15889" w:rsidP="00D15889">
      <w:pPr>
        <w:numPr>
          <w:ilvl w:val="0"/>
          <w:numId w:val="4"/>
        </w:numPr>
        <w:spacing w:after="120" w:line="276" w:lineRule="auto"/>
        <w:ind w:left="357"/>
        <w:jc w:val="both"/>
        <w:rPr>
          <w:rFonts w:ascii="Arial" w:hAnsi="Arial" w:cs="Arial"/>
        </w:rPr>
      </w:pPr>
      <w:r w:rsidRPr="00907C63">
        <w:rPr>
          <w:rFonts w:ascii="Arial" w:hAnsi="Arial" w:cs="Arial"/>
          <w:b/>
          <w:bCs/>
        </w:rPr>
        <w:t>D’autres biocarburants, sans limite d’incorporation pour le diesel et incorporables en proportion croissante pour le SAF</w:t>
      </w:r>
      <w:r w:rsidRPr="00907C63">
        <w:rPr>
          <w:rFonts w:ascii="Arial" w:hAnsi="Arial" w:cs="Arial"/>
        </w:rPr>
        <w:t>, sont produits par hydrotraitement de charges lipidiques : matières premières issues de l’économie circulaire pour les SAF (graisses animales, huiles de cuisson usagées…), auxquelles s’ajoutent les huiles végétales (colza, tournesol) pour le diesel routier. Ces procédés permettent, en fonction des unités et du type de charges, de produire des diesels renouvelables (RD) comme à La Mède depuis 2019, et des carburants aériens durables (SAF) comme à Grandpuits à compter de 2025.</w:t>
      </w:r>
    </w:p>
    <w:p w14:paraId="7D763495" w14:textId="77777777" w:rsidR="00D15889" w:rsidRPr="00500846" w:rsidRDefault="00D15889" w:rsidP="00D15889">
      <w:pPr>
        <w:spacing w:after="120" w:line="276" w:lineRule="auto"/>
        <w:ind w:left="357"/>
        <w:jc w:val="both"/>
        <w:rPr>
          <w:rFonts w:ascii="Arial" w:hAnsi="Arial" w:cs="Arial"/>
        </w:rPr>
      </w:pPr>
      <w:r w:rsidRPr="00500846">
        <w:rPr>
          <w:rFonts w:ascii="Arial" w:hAnsi="Arial" w:cs="Arial"/>
        </w:rPr>
        <w:t xml:space="preserve">Le règlement européen </w:t>
      </w:r>
      <w:proofErr w:type="spellStart"/>
      <w:r w:rsidRPr="00500846">
        <w:rPr>
          <w:rFonts w:ascii="Arial" w:hAnsi="Arial" w:cs="Arial"/>
        </w:rPr>
        <w:t>RefuelEU</w:t>
      </w:r>
      <w:proofErr w:type="spellEnd"/>
      <w:r w:rsidRPr="00500846">
        <w:rPr>
          <w:rFonts w:ascii="Arial" w:hAnsi="Arial" w:cs="Arial"/>
        </w:rPr>
        <w:t xml:space="preserve"> Aviation proposé par la Commission définit une liste très restrictive des matières premières éligibles pour la production de SAF. </w:t>
      </w:r>
    </w:p>
    <w:p w14:paraId="3ACC290C" w14:textId="77777777" w:rsidR="00D15889" w:rsidRPr="00500846" w:rsidRDefault="00D15889" w:rsidP="00D15889">
      <w:pPr>
        <w:spacing w:after="120" w:line="276" w:lineRule="auto"/>
        <w:ind w:left="357"/>
        <w:jc w:val="both"/>
        <w:rPr>
          <w:rFonts w:ascii="Arial" w:hAnsi="Arial" w:cs="Arial"/>
        </w:rPr>
      </w:pPr>
      <w:r w:rsidRPr="00500846">
        <w:rPr>
          <w:rFonts w:ascii="Arial" w:hAnsi="Arial" w:cs="Arial"/>
        </w:rPr>
        <w:t>Le facteur limitant pour la production des biocarburants aériens durable étant la quantité des charges disponibles</w:t>
      </w:r>
      <w:r w:rsidRPr="003C5440">
        <w:rPr>
          <w:rFonts w:ascii="Arial" w:hAnsi="Arial" w:cs="Arial"/>
          <w:b/>
          <w:bCs/>
        </w:rPr>
        <w:t>, il est important d’élargir au maximum la liste des matières premières issues de l’économie circulaire éligibles</w:t>
      </w:r>
      <w:r w:rsidRPr="00500846">
        <w:rPr>
          <w:rFonts w:ascii="Arial" w:hAnsi="Arial" w:cs="Arial"/>
        </w:rPr>
        <w:t>. De plus, cela aura des conséquences sur le prix : en effet, plus le gisement sera restreint, plus le coût des SAF sera élevé.</w:t>
      </w:r>
    </w:p>
    <w:p w14:paraId="454F8102" w14:textId="77777777" w:rsidR="00D15889" w:rsidRPr="009517C8" w:rsidRDefault="00D15889" w:rsidP="00D15889">
      <w:pPr>
        <w:spacing w:after="120" w:line="276" w:lineRule="auto"/>
        <w:ind w:left="360"/>
        <w:jc w:val="both"/>
        <w:rPr>
          <w:rFonts w:ascii="Arial" w:hAnsi="Arial" w:cs="Arial"/>
        </w:rPr>
      </w:pPr>
    </w:p>
    <w:p w14:paraId="161506CA" w14:textId="77777777" w:rsidR="00D15889" w:rsidRPr="00500846" w:rsidRDefault="00D15889" w:rsidP="00D15889">
      <w:pPr>
        <w:numPr>
          <w:ilvl w:val="0"/>
          <w:numId w:val="4"/>
        </w:numPr>
        <w:spacing w:after="120" w:line="276" w:lineRule="auto"/>
        <w:jc w:val="both"/>
        <w:rPr>
          <w:rFonts w:ascii="Arial" w:hAnsi="Arial" w:cs="Arial"/>
        </w:rPr>
      </w:pPr>
      <w:r w:rsidRPr="002C1708">
        <w:rPr>
          <w:rFonts w:ascii="Arial" w:hAnsi="Arial" w:cs="Arial"/>
          <w:b/>
          <w:bCs/>
        </w:rPr>
        <w:t>De nouvelles charges avancées</w:t>
      </w:r>
      <w:r w:rsidRPr="00500846">
        <w:rPr>
          <w:rFonts w:ascii="Arial" w:hAnsi="Arial" w:cs="Arial"/>
        </w:rPr>
        <w:t xml:space="preserve"> comme des déchets municipaux et des résidus de bois commencent à peine à être utilisées dans de nouvelles filières à maturité moindre comme les </w:t>
      </w:r>
      <w:r w:rsidRPr="00DB3319">
        <w:rPr>
          <w:rFonts w:ascii="Arial" w:hAnsi="Arial" w:cs="Arial"/>
          <w:b/>
          <w:bCs/>
        </w:rPr>
        <w:t>procédés de gazéification type Fischer-</w:t>
      </w:r>
      <w:proofErr w:type="spellStart"/>
      <w:r w:rsidRPr="00DB3319">
        <w:rPr>
          <w:rFonts w:ascii="Arial" w:hAnsi="Arial" w:cs="Arial"/>
          <w:b/>
          <w:bCs/>
        </w:rPr>
        <w:t>Tropsch</w:t>
      </w:r>
      <w:proofErr w:type="spellEnd"/>
      <w:r w:rsidRPr="00500846">
        <w:rPr>
          <w:rFonts w:ascii="Arial" w:hAnsi="Arial" w:cs="Arial"/>
        </w:rPr>
        <w:t xml:space="preserve"> ou ceux de </w:t>
      </w:r>
      <w:r w:rsidRPr="00DB3319">
        <w:rPr>
          <w:rFonts w:ascii="Arial" w:hAnsi="Arial" w:cs="Arial"/>
          <w:b/>
          <w:bCs/>
        </w:rPr>
        <w:t xml:space="preserve">transformation d’alcool en jet (Alcool to Jet : </w:t>
      </w:r>
      <w:proofErr w:type="spellStart"/>
      <w:r w:rsidRPr="00DB3319">
        <w:rPr>
          <w:rFonts w:ascii="Arial" w:hAnsi="Arial" w:cs="Arial"/>
          <w:b/>
          <w:bCs/>
        </w:rPr>
        <w:t>AtJ</w:t>
      </w:r>
      <w:proofErr w:type="spellEnd"/>
      <w:r w:rsidRPr="00DB3319">
        <w:rPr>
          <w:rFonts w:ascii="Arial" w:hAnsi="Arial" w:cs="Arial"/>
          <w:b/>
          <w:bCs/>
        </w:rPr>
        <w:t>).</w:t>
      </w:r>
      <w:r w:rsidRPr="00500846">
        <w:rPr>
          <w:rFonts w:ascii="Arial" w:hAnsi="Arial" w:cs="Arial"/>
        </w:rPr>
        <w:t xml:space="preserve"> Les molécules issues de ces filières ne sont à ce jour que très peu disponibles (procédés en cours de développement).</w:t>
      </w:r>
    </w:p>
    <w:p w14:paraId="3FB23DC9" w14:textId="77777777" w:rsidR="00D15889" w:rsidRPr="009517C8" w:rsidRDefault="00D15889" w:rsidP="00D15889">
      <w:pPr>
        <w:spacing w:after="120" w:line="276" w:lineRule="auto"/>
        <w:ind w:left="357"/>
        <w:jc w:val="both"/>
        <w:rPr>
          <w:rFonts w:ascii="Arial" w:hAnsi="Arial" w:cs="Arial"/>
        </w:rPr>
      </w:pPr>
    </w:p>
    <w:p w14:paraId="33F93005" w14:textId="77777777" w:rsidR="00D15889" w:rsidRPr="00500846" w:rsidRDefault="00D15889" w:rsidP="00D15889">
      <w:pPr>
        <w:numPr>
          <w:ilvl w:val="0"/>
          <w:numId w:val="4"/>
        </w:numPr>
        <w:spacing w:after="120" w:line="276" w:lineRule="auto"/>
        <w:ind w:left="357"/>
        <w:jc w:val="both"/>
        <w:rPr>
          <w:rFonts w:ascii="Arial" w:hAnsi="Arial" w:cs="Arial"/>
        </w:rPr>
      </w:pPr>
      <w:r w:rsidRPr="00F26D77">
        <w:rPr>
          <w:rFonts w:ascii="Arial" w:hAnsi="Arial" w:cs="Arial"/>
          <w:b/>
          <w:bCs/>
        </w:rPr>
        <w:t>Enfin, des carburant synthétiques (e-fuels) sont aussi envisagés</w:t>
      </w:r>
      <w:r w:rsidRPr="00500846">
        <w:rPr>
          <w:rFonts w:ascii="Arial" w:hAnsi="Arial" w:cs="Arial"/>
        </w:rPr>
        <w:t xml:space="preserve"> mais leurs coûts de production, la faible maturité des voies technologiques de production et la disponibilité de productions massives d’électricité d’origine renouvelable avec les infrastructures de transport associées devraient repousser les premières productions </w:t>
      </w:r>
      <w:r>
        <w:rPr>
          <w:rFonts w:ascii="Arial" w:hAnsi="Arial" w:cs="Arial"/>
        </w:rPr>
        <w:t>au plus tôt à la fin de la décennie 2020</w:t>
      </w:r>
      <w:r w:rsidRPr="00500846">
        <w:rPr>
          <w:rFonts w:ascii="Arial" w:hAnsi="Arial" w:cs="Arial"/>
        </w:rPr>
        <w:t xml:space="preserve">. </w:t>
      </w:r>
    </w:p>
    <w:p w14:paraId="79B40E26" w14:textId="77777777" w:rsidR="00D15889" w:rsidRPr="00500846" w:rsidRDefault="00D15889" w:rsidP="00D15889">
      <w:pPr>
        <w:spacing w:after="120" w:line="276" w:lineRule="auto"/>
        <w:ind w:left="357"/>
        <w:jc w:val="both"/>
        <w:rPr>
          <w:rFonts w:ascii="Arial" w:hAnsi="Arial" w:cs="Arial"/>
        </w:rPr>
      </w:pPr>
      <w:r w:rsidRPr="00500846">
        <w:rPr>
          <w:rFonts w:ascii="Arial" w:hAnsi="Arial" w:cs="Arial"/>
        </w:rPr>
        <w:lastRenderedPageBreak/>
        <w:t>Les investissements associés sont aussi largement supérieurs à ceux des unités d’hydrotraitements de biomasse pour des tailles plus faibles.</w:t>
      </w:r>
    </w:p>
    <w:p w14:paraId="0B8FBBF2" w14:textId="77777777" w:rsidR="00D15889" w:rsidRPr="00500846" w:rsidRDefault="00D15889" w:rsidP="00D15889">
      <w:pPr>
        <w:spacing w:after="120" w:line="276" w:lineRule="auto"/>
        <w:ind w:left="357"/>
        <w:jc w:val="both"/>
        <w:rPr>
          <w:rFonts w:ascii="Arial" w:hAnsi="Arial" w:cs="Arial"/>
        </w:rPr>
      </w:pPr>
      <w:r w:rsidRPr="00500846">
        <w:rPr>
          <w:rFonts w:ascii="Arial" w:hAnsi="Arial" w:cs="Arial"/>
        </w:rPr>
        <w:t xml:space="preserve">Ces e-carburants seront néanmoins indispensables à terme pour répondre à la demande de SAF en complément de ceux produits sur base biomasse. En effet, pour le transport aérien, aucune réelle alternative aux carburants liquides n’existe actuellement. </w:t>
      </w:r>
    </w:p>
    <w:p w14:paraId="2429FB5F" w14:textId="77777777" w:rsidR="00D15889" w:rsidRDefault="00D15889" w:rsidP="00D15889">
      <w:pPr>
        <w:spacing w:after="120" w:line="276" w:lineRule="auto"/>
        <w:ind w:left="357"/>
        <w:jc w:val="both"/>
        <w:rPr>
          <w:rFonts w:ascii="Arial" w:hAnsi="Arial" w:cs="Arial"/>
        </w:rPr>
      </w:pPr>
      <w:r w:rsidRPr="00A63FA8">
        <w:rPr>
          <w:rFonts w:ascii="Arial" w:hAnsi="Arial" w:cs="Arial"/>
          <w:b/>
          <w:bCs/>
        </w:rPr>
        <w:t>Le facteur limitant est la</w:t>
      </w:r>
      <w:r w:rsidRPr="00500846">
        <w:rPr>
          <w:rFonts w:ascii="Arial" w:hAnsi="Arial" w:cs="Arial"/>
        </w:rPr>
        <w:t xml:space="preserve"> </w:t>
      </w:r>
      <w:r w:rsidRPr="006A3235">
        <w:rPr>
          <w:rFonts w:ascii="Arial" w:hAnsi="Arial" w:cs="Arial"/>
          <w:b/>
          <w:bCs/>
        </w:rPr>
        <w:t>disponibilité de l’électricité verte et son coût</w:t>
      </w:r>
      <w:r w:rsidRPr="00500846">
        <w:rPr>
          <w:rFonts w:ascii="Arial" w:hAnsi="Arial" w:cs="Arial"/>
        </w:rPr>
        <w:t xml:space="preserve">, qui représente de l’ordre de </w:t>
      </w:r>
      <w:r w:rsidRPr="00A63FA8">
        <w:rPr>
          <w:rFonts w:ascii="Arial" w:hAnsi="Arial" w:cs="Arial"/>
          <w:b/>
          <w:bCs/>
        </w:rPr>
        <w:t>70%</w:t>
      </w:r>
      <w:r w:rsidRPr="00500846">
        <w:rPr>
          <w:rFonts w:ascii="Arial" w:hAnsi="Arial" w:cs="Arial"/>
        </w:rPr>
        <w:t xml:space="preserve"> du coût de production d’un e-fuel.</w:t>
      </w:r>
    </w:p>
    <w:p w14:paraId="799D37C9" w14:textId="77777777" w:rsidR="00D15889" w:rsidRDefault="00D15889" w:rsidP="00D15889">
      <w:pPr>
        <w:spacing w:after="120" w:line="276" w:lineRule="auto"/>
        <w:ind w:left="357"/>
        <w:jc w:val="both"/>
        <w:rPr>
          <w:rFonts w:ascii="Arial" w:hAnsi="Arial" w:cs="Arial"/>
        </w:rPr>
      </w:pPr>
    </w:p>
    <w:p w14:paraId="1F7216C7" w14:textId="77777777" w:rsidR="00D15889" w:rsidRPr="00500846" w:rsidRDefault="00D15889" w:rsidP="00D15889">
      <w:pPr>
        <w:spacing w:after="120" w:line="276" w:lineRule="auto"/>
        <w:ind w:left="357"/>
        <w:jc w:val="both"/>
        <w:rPr>
          <w:rFonts w:ascii="Arial" w:hAnsi="Arial" w:cs="Arial"/>
        </w:rPr>
      </w:pPr>
    </w:p>
    <w:p w14:paraId="76E09466" w14:textId="77777777" w:rsidR="00D15889" w:rsidRDefault="00D15889" w:rsidP="00D15889">
      <w:pPr>
        <w:rPr>
          <w:rFonts w:ascii="Arial" w:hAnsi="Arial" w:cs="Arial"/>
          <w:b/>
          <w:bCs/>
          <w:u w:val="single"/>
        </w:rPr>
      </w:pPr>
      <w:r>
        <w:rPr>
          <w:rFonts w:ascii="Arial" w:hAnsi="Arial" w:cs="Arial"/>
          <w:b/>
          <w:bCs/>
          <w:u w:val="single"/>
        </w:rPr>
        <w:t xml:space="preserve">Coûts de production </w:t>
      </w:r>
    </w:p>
    <w:tbl>
      <w:tblPr>
        <w:tblStyle w:val="Grilledutableau"/>
        <w:tblW w:w="0" w:type="auto"/>
        <w:tblLook w:val="04A0" w:firstRow="1" w:lastRow="0" w:firstColumn="1" w:lastColumn="0" w:noHBand="0" w:noVBand="1"/>
      </w:tblPr>
      <w:tblGrid>
        <w:gridCol w:w="9016"/>
      </w:tblGrid>
      <w:tr w:rsidR="00D15889" w14:paraId="6A1CBC7E" w14:textId="77777777" w:rsidTr="005C1D58">
        <w:tc>
          <w:tcPr>
            <w:tcW w:w="9016" w:type="dxa"/>
          </w:tcPr>
          <w:p w14:paraId="20AA1188" w14:textId="77777777" w:rsidR="00D15889" w:rsidRDefault="00D15889" w:rsidP="005C1D58">
            <w:pPr>
              <w:spacing w:after="120"/>
              <w:jc w:val="both"/>
              <w:rPr>
                <w:rFonts w:ascii="Arial" w:hAnsi="Arial" w:cs="Arial"/>
              </w:rPr>
            </w:pPr>
          </w:p>
          <w:p w14:paraId="376F4747" w14:textId="77777777" w:rsidR="00D15889" w:rsidRPr="00500846" w:rsidRDefault="00D15889" w:rsidP="005C1D58">
            <w:pPr>
              <w:spacing w:after="120"/>
              <w:jc w:val="both"/>
              <w:rPr>
                <w:rFonts w:ascii="Arial" w:hAnsi="Arial" w:cs="Arial"/>
              </w:rPr>
            </w:pPr>
            <w:r w:rsidRPr="00500846">
              <w:rPr>
                <w:rFonts w:ascii="Arial" w:hAnsi="Arial" w:cs="Arial"/>
              </w:rPr>
              <w:t xml:space="preserve">Avec les coûts de productions actuels, </w:t>
            </w:r>
            <w:r w:rsidRPr="00A63FA8">
              <w:rPr>
                <w:rFonts w:ascii="Arial" w:hAnsi="Arial" w:cs="Arial"/>
                <w:b/>
                <w:bCs/>
              </w:rPr>
              <w:t xml:space="preserve">les diesels renouvelables sont de l’ordre de 2 à 3 fois plus </w:t>
            </w:r>
            <w:r w:rsidRPr="007012EE">
              <w:rPr>
                <w:rFonts w:ascii="Arial" w:hAnsi="Arial" w:cs="Arial"/>
                <w:b/>
                <w:bCs/>
              </w:rPr>
              <w:t>chers que le diesel fossile</w:t>
            </w:r>
            <w:r w:rsidRPr="00500846">
              <w:rPr>
                <w:rFonts w:ascii="Arial" w:hAnsi="Arial" w:cs="Arial"/>
              </w:rPr>
              <w:t xml:space="preserve">. Pour les biocarburants aériens durable et en fonction de la voie technologique choisi on peut retenir : </w:t>
            </w:r>
          </w:p>
          <w:p w14:paraId="430E4376" w14:textId="77777777" w:rsidR="00D15889" w:rsidRPr="00500846" w:rsidRDefault="00D15889" w:rsidP="00D15889">
            <w:pPr>
              <w:numPr>
                <w:ilvl w:val="0"/>
                <w:numId w:val="5"/>
              </w:numPr>
              <w:spacing w:after="120"/>
              <w:ind w:left="714" w:hanging="357"/>
              <w:jc w:val="both"/>
              <w:rPr>
                <w:rFonts w:ascii="Arial" w:hAnsi="Arial" w:cs="Arial"/>
              </w:rPr>
            </w:pPr>
            <w:r w:rsidRPr="00500846">
              <w:rPr>
                <w:rFonts w:ascii="Arial" w:hAnsi="Arial" w:cs="Arial"/>
              </w:rPr>
              <w:t xml:space="preserve">Technologie base HEFA : </w:t>
            </w:r>
            <w:r w:rsidRPr="00A63FA8">
              <w:rPr>
                <w:rFonts w:ascii="Arial" w:hAnsi="Arial" w:cs="Arial"/>
                <w:b/>
                <w:bCs/>
              </w:rPr>
              <w:t>environ 3-4 fois prix du jet fossile</w:t>
            </w:r>
            <w:r w:rsidRPr="00500846">
              <w:rPr>
                <w:rFonts w:ascii="Arial" w:hAnsi="Arial" w:cs="Arial"/>
              </w:rPr>
              <w:t> ;</w:t>
            </w:r>
          </w:p>
          <w:p w14:paraId="153EE973" w14:textId="77777777" w:rsidR="00D15889" w:rsidRPr="00A63FA8" w:rsidRDefault="00D15889" w:rsidP="00D15889">
            <w:pPr>
              <w:numPr>
                <w:ilvl w:val="0"/>
                <w:numId w:val="5"/>
              </w:numPr>
              <w:spacing w:after="120"/>
              <w:ind w:left="714" w:hanging="357"/>
              <w:jc w:val="both"/>
              <w:rPr>
                <w:rFonts w:ascii="Arial" w:hAnsi="Arial" w:cs="Arial"/>
                <w:b/>
                <w:bCs/>
              </w:rPr>
            </w:pPr>
            <w:r w:rsidRPr="00500846">
              <w:rPr>
                <w:rFonts w:ascii="Arial" w:hAnsi="Arial" w:cs="Arial"/>
              </w:rPr>
              <w:t>Technologies peu matures comme Fischer-</w:t>
            </w:r>
            <w:proofErr w:type="spellStart"/>
            <w:r w:rsidRPr="00500846">
              <w:rPr>
                <w:rFonts w:ascii="Arial" w:hAnsi="Arial" w:cs="Arial"/>
              </w:rPr>
              <w:t>Tropsch</w:t>
            </w:r>
            <w:proofErr w:type="spellEnd"/>
            <w:r w:rsidRPr="00500846">
              <w:rPr>
                <w:rFonts w:ascii="Arial" w:hAnsi="Arial" w:cs="Arial"/>
              </w:rPr>
              <w:t xml:space="preserve"> et Alcool to Jet : </w:t>
            </w:r>
            <w:r w:rsidRPr="00A63FA8">
              <w:rPr>
                <w:rFonts w:ascii="Arial" w:hAnsi="Arial" w:cs="Arial"/>
                <w:b/>
                <w:bCs/>
              </w:rPr>
              <w:t>6 à 8 fois le prix du jet fossile.</w:t>
            </w:r>
          </w:p>
          <w:p w14:paraId="298EA39D" w14:textId="77777777" w:rsidR="00D15889" w:rsidRDefault="00D15889" w:rsidP="00D15889">
            <w:pPr>
              <w:numPr>
                <w:ilvl w:val="0"/>
                <w:numId w:val="5"/>
              </w:numPr>
              <w:spacing w:after="120"/>
              <w:ind w:left="714" w:hanging="357"/>
              <w:jc w:val="both"/>
              <w:rPr>
                <w:rFonts w:ascii="Arial" w:hAnsi="Arial" w:cs="Arial"/>
              </w:rPr>
            </w:pPr>
            <w:r w:rsidRPr="00500846">
              <w:rPr>
                <w:rFonts w:ascii="Arial" w:hAnsi="Arial" w:cs="Arial"/>
              </w:rPr>
              <w:t xml:space="preserve">Carburants synthétiques ; </w:t>
            </w:r>
            <w:r w:rsidRPr="00A63FA8">
              <w:rPr>
                <w:rFonts w:ascii="Arial" w:hAnsi="Arial" w:cs="Arial"/>
                <w:b/>
                <w:bCs/>
              </w:rPr>
              <w:t>plus de 8 à 10 fois le prix du jet fossile</w:t>
            </w:r>
            <w:r w:rsidRPr="00500846">
              <w:rPr>
                <w:rFonts w:ascii="Arial" w:hAnsi="Arial" w:cs="Arial"/>
              </w:rPr>
              <w:t xml:space="preserve"> , ce qui nécessite des mandats, sous-mandats et pénalités cohérentes.</w:t>
            </w:r>
          </w:p>
          <w:p w14:paraId="602798C6" w14:textId="77777777" w:rsidR="00D15889" w:rsidRPr="003930FD" w:rsidRDefault="00D15889" w:rsidP="005C1D58">
            <w:pPr>
              <w:spacing w:after="120"/>
              <w:ind w:left="714"/>
              <w:jc w:val="both"/>
              <w:rPr>
                <w:rFonts w:ascii="Arial" w:hAnsi="Arial" w:cs="Arial"/>
              </w:rPr>
            </w:pPr>
          </w:p>
        </w:tc>
      </w:tr>
    </w:tbl>
    <w:p w14:paraId="6B78226F" w14:textId="77777777" w:rsidR="00D15889" w:rsidRPr="009517C8" w:rsidRDefault="00D15889" w:rsidP="00D15889">
      <w:pPr>
        <w:spacing w:after="120" w:line="276" w:lineRule="auto"/>
        <w:ind w:left="360"/>
        <w:jc w:val="both"/>
        <w:rPr>
          <w:rFonts w:ascii="Arial" w:hAnsi="Arial" w:cs="Arial"/>
        </w:rPr>
      </w:pPr>
    </w:p>
    <w:p w14:paraId="7ACDF568" w14:textId="77777777" w:rsidR="00D15889" w:rsidRPr="00500846" w:rsidRDefault="00D15889" w:rsidP="00D15889">
      <w:pPr>
        <w:spacing w:after="120" w:line="276" w:lineRule="auto"/>
        <w:jc w:val="both"/>
        <w:textAlignment w:val="baseline"/>
        <w:rPr>
          <w:rFonts w:ascii="Arial" w:hAnsi="Arial" w:cs="Arial"/>
          <w:b/>
          <w:bCs/>
          <w:u w:val="single"/>
          <w:lang w:eastAsia="fr-FR"/>
        </w:rPr>
      </w:pPr>
    </w:p>
    <w:p w14:paraId="4A4C8500" w14:textId="77777777" w:rsidR="00D15889" w:rsidRDefault="00D15889" w:rsidP="00D15889">
      <w:pPr>
        <w:spacing w:after="120" w:line="276" w:lineRule="auto"/>
        <w:jc w:val="center"/>
        <w:textAlignment w:val="baseline"/>
        <w:rPr>
          <w:rFonts w:ascii="Arial" w:hAnsi="Arial" w:cs="Arial"/>
          <w:b/>
          <w:bCs/>
          <w:u w:val="single"/>
          <w:lang w:eastAsia="fr-FR"/>
        </w:rPr>
      </w:pPr>
    </w:p>
    <w:p w14:paraId="74973254" w14:textId="77777777" w:rsidR="00D15889" w:rsidRDefault="00D15889" w:rsidP="00D15889">
      <w:pPr>
        <w:rPr>
          <w:rFonts w:ascii="Arial" w:hAnsi="Arial" w:cs="Arial"/>
          <w:b/>
          <w:bCs/>
          <w:u w:val="single"/>
          <w:lang w:eastAsia="fr-FR"/>
        </w:rPr>
      </w:pPr>
      <w:r>
        <w:rPr>
          <w:rFonts w:ascii="Arial" w:hAnsi="Arial" w:cs="Arial"/>
          <w:b/>
          <w:bCs/>
          <w:u w:val="single"/>
          <w:lang w:eastAsia="fr-FR"/>
        </w:rPr>
        <w:br w:type="page"/>
      </w:r>
    </w:p>
    <w:p w14:paraId="6772BED8" w14:textId="77777777" w:rsidR="00D15889" w:rsidRPr="00500846" w:rsidRDefault="00D15889" w:rsidP="00D15889">
      <w:pPr>
        <w:spacing w:after="120" w:line="276" w:lineRule="auto"/>
        <w:jc w:val="center"/>
        <w:textAlignment w:val="baseline"/>
        <w:rPr>
          <w:rFonts w:ascii="Arial" w:hAnsi="Arial" w:cs="Arial"/>
          <w:b/>
          <w:bCs/>
          <w:u w:val="single"/>
          <w:lang w:eastAsia="fr-FR"/>
        </w:rPr>
      </w:pPr>
      <w:r>
        <w:rPr>
          <w:rFonts w:ascii="Arial" w:hAnsi="Arial" w:cs="Arial"/>
          <w:b/>
          <w:bCs/>
          <w:u w:val="single"/>
          <w:lang w:eastAsia="fr-FR"/>
        </w:rPr>
        <w:lastRenderedPageBreak/>
        <w:t xml:space="preserve">Annexe 2 - </w:t>
      </w:r>
      <w:r w:rsidRPr="00500846">
        <w:rPr>
          <w:rFonts w:ascii="Arial" w:hAnsi="Arial" w:cs="Arial"/>
          <w:b/>
          <w:bCs/>
          <w:u w:val="single"/>
          <w:lang w:eastAsia="fr-FR"/>
        </w:rPr>
        <w:t xml:space="preserve">Biocarburants – </w:t>
      </w:r>
      <w:proofErr w:type="spellStart"/>
      <w:r w:rsidRPr="00500846">
        <w:rPr>
          <w:rFonts w:ascii="Arial" w:hAnsi="Arial" w:cs="Arial"/>
          <w:b/>
          <w:bCs/>
          <w:u w:val="single"/>
          <w:lang w:eastAsia="fr-FR"/>
        </w:rPr>
        <w:t>Feedstocks</w:t>
      </w:r>
      <w:proofErr w:type="spellEnd"/>
    </w:p>
    <w:p w14:paraId="381047E6" w14:textId="77777777" w:rsidR="00D15889" w:rsidRDefault="00D15889" w:rsidP="00D15889">
      <w:pPr>
        <w:spacing w:after="120" w:line="276" w:lineRule="auto"/>
        <w:jc w:val="both"/>
        <w:rPr>
          <w:rFonts w:ascii="Arial" w:hAnsi="Arial" w:cs="Arial"/>
        </w:rPr>
      </w:pPr>
    </w:p>
    <w:p w14:paraId="63A31DD1" w14:textId="77777777" w:rsidR="00D15889" w:rsidRPr="00500846" w:rsidRDefault="00D15889" w:rsidP="00D15889">
      <w:pPr>
        <w:spacing w:after="120" w:line="276" w:lineRule="auto"/>
        <w:jc w:val="both"/>
        <w:rPr>
          <w:rFonts w:ascii="Arial" w:hAnsi="Arial" w:cs="Arial"/>
        </w:rPr>
      </w:pPr>
      <w:r w:rsidRPr="00500846">
        <w:rPr>
          <w:rFonts w:ascii="Arial" w:hAnsi="Arial" w:cs="Arial"/>
        </w:rPr>
        <w:t xml:space="preserve">Les déchets et résidus d’huile que nous valorisons aujourd’hui à La Mède et demain à Grandpuits s'appuient sur </w:t>
      </w:r>
      <w:r w:rsidRPr="00EE3C2E">
        <w:rPr>
          <w:rFonts w:ascii="Arial" w:hAnsi="Arial" w:cs="Arial"/>
          <w:b/>
          <w:bCs/>
        </w:rPr>
        <w:t>un gisement en 2030 de plus de 5 Mt en Europe</w:t>
      </w:r>
      <w:r w:rsidRPr="00500846">
        <w:rPr>
          <w:rFonts w:ascii="Arial" w:hAnsi="Arial" w:cs="Arial"/>
        </w:rPr>
        <w:t xml:space="preserve"> (&gt;40 Mt dans le monde sur base UCO et graisses animales). Son développement s’amplifie via une meilleure gestion des circuits de collecte notamment.</w:t>
      </w:r>
    </w:p>
    <w:p w14:paraId="03BBBDE9" w14:textId="77777777" w:rsidR="00D15889" w:rsidRPr="00500846" w:rsidRDefault="00D15889" w:rsidP="00D15889">
      <w:pPr>
        <w:spacing w:after="120" w:line="276" w:lineRule="auto"/>
        <w:jc w:val="both"/>
        <w:rPr>
          <w:rFonts w:ascii="Arial" w:hAnsi="Arial" w:cs="Arial"/>
        </w:rPr>
      </w:pPr>
      <w:r w:rsidRPr="00500846">
        <w:rPr>
          <w:rFonts w:ascii="Arial" w:hAnsi="Arial" w:cs="Arial"/>
        </w:rPr>
        <w:t>Les nouvelles filières couvrent les résidus agricoles et forestiers ainsi que les déchets municipaux.</w:t>
      </w:r>
    </w:p>
    <w:p w14:paraId="54714519" w14:textId="77777777" w:rsidR="00D15889" w:rsidRPr="00500846" w:rsidRDefault="00D15889" w:rsidP="00D15889">
      <w:pPr>
        <w:spacing w:after="120" w:line="276" w:lineRule="auto"/>
        <w:jc w:val="both"/>
        <w:rPr>
          <w:rFonts w:ascii="Arial" w:hAnsi="Arial" w:cs="Arial"/>
        </w:rPr>
      </w:pPr>
      <w:r w:rsidRPr="00500846">
        <w:rPr>
          <w:rFonts w:ascii="Arial" w:hAnsi="Arial" w:cs="Arial"/>
        </w:rPr>
        <w:t>Le premier défi tient à la capacité de mobilisation de ces volumes qui, par définition, sont diffus : les gisements sont existants mais nécessitent des efforts supplémentaires de manière à pouvoir répondre à la demande.</w:t>
      </w:r>
    </w:p>
    <w:p w14:paraId="1874A56E" w14:textId="77777777" w:rsidR="00D15889" w:rsidRPr="00500846" w:rsidRDefault="00D15889" w:rsidP="00D15889">
      <w:pPr>
        <w:spacing w:after="120" w:line="276" w:lineRule="auto"/>
        <w:jc w:val="both"/>
        <w:rPr>
          <w:rFonts w:ascii="Arial" w:hAnsi="Arial" w:cs="Arial"/>
        </w:rPr>
      </w:pPr>
      <w:r w:rsidRPr="00500846">
        <w:rPr>
          <w:rFonts w:ascii="Arial" w:hAnsi="Arial" w:cs="Arial"/>
        </w:rPr>
        <w:t>Le deuxième défi consiste à avoir des technologies qui atteignent un stade industriel aussi bien pour les carburants de nouvelle génération que les carburants synthétiques.</w:t>
      </w:r>
    </w:p>
    <w:p w14:paraId="4DFB1C2A" w14:textId="77777777" w:rsidR="00D15889" w:rsidRPr="00500846" w:rsidRDefault="00D15889" w:rsidP="00D15889">
      <w:pPr>
        <w:spacing w:after="120" w:line="276" w:lineRule="auto"/>
        <w:jc w:val="both"/>
        <w:rPr>
          <w:rFonts w:ascii="Arial" w:hAnsi="Arial" w:cs="Arial"/>
        </w:rPr>
      </w:pPr>
    </w:p>
    <w:p w14:paraId="357461BB" w14:textId="77777777" w:rsidR="00D15889" w:rsidRPr="00500846" w:rsidRDefault="00D15889" w:rsidP="00D15889">
      <w:pPr>
        <w:spacing w:after="120" w:line="276" w:lineRule="auto"/>
        <w:jc w:val="both"/>
        <w:rPr>
          <w:rFonts w:ascii="Arial" w:hAnsi="Arial" w:cs="Arial"/>
        </w:rPr>
      </w:pPr>
      <w:r w:rsidRPr="00500846">
        <w:rPr>
          <w:rFonts w:ascii="Arial" w:hAnsi="Arial" w:cs="Arial"/>
        </w:rPr>
        <w:t>Tableau gisement monde et Europe</w:t>
      </w:r>
    </w:p>
    <w:tbl>
      <w:tblPr>
        <w:tblW w:w="7020" w:type="dxa"/>
        <w:tblCellMar>
          <w:left w:w="70" w:type="dxa"/>
          <w:right w:w="70" w:type="dxa"/>
        </w:tblCellMar>
        <w:tblLook w:val="04A0" w:firstRow="1" w:lastRow="0" w:firstColumn="1" w:lastColumn="0" w:noHBand="0" w:noVBand="1"/>
      </w:tblPr>
      <w:tblGrid>
        <w:gridCol w:w="2156"/>
        <w:gridCol w:w="1216"/>
        <w:gridCol w:w="1354"/>
        <w:gridCol w:w="1216"/>
        <w:gridCol w:w="1216"/>
      </w:tblGrid>
      <w:tr w:rsidR="00D15889" w:rsidRPr="00500846" w14:paraId="300EE5FA" w14:textId="77777777" w:rsidTr="005C1D58">
        <w:trPr>
          <w:trHeight w:val="315"/>
        </w:trPr>
        <w:tc>
          <w:tcPr>
            <w:tcW w:w="2156" w:type="dxa"/>
            <w:tcBorders>
              <w:top w:val="single" w:sz="4" w:space="0" w:color="auto"/>
              <w:left w:val="nil"/>
              <w:bottom w:val="single" w:sz="8" w:space="0" w:color="auto"/>
              <w:right w:val="nil"/>
            </w:tcBorders>
            <w:noWrap/>
            <w:vAlign w:val="bottom"/>
            <w:hideMark/>
          </w:tcPr>
          <w:p w14:paraId="4CD6210B" w14:textId="77777777" w:rsidR="00D15889" w:rsidRPr="00500846" w:rsidRDefault="00D15889" w:rsidP="005C1D58">
            <w:pPr>
              <w:spacing w:after="120" w:line="276" w:lineRule="auto"/>
              <w:jc w:val="both"/>
              <w:rPr>
                <w:rFonts w:ascii="Arial" w:hAnsi="Arial" w:cs="Arial"/>
              </w:rPr>
            </w:pPr>
            <w:r w:rsidRPr="00500846">
              <w:rPr>
                <w:rFonts w:ascii="Arial" w:hAnsi="Arial" w:cs="Arial"/>
              </w:rPr>
              <w:t> </w:t>
            </w:r>
          </w:p>
        </w:tc>
        <w:tc>
          <w:tcPr>
            <w:tcW w:w="1216" w:type="dxa"/>
            <w:tcBorders>
              <w:top w:val="single" w:sz="4" w:space="0" w:color="auto"/>
              <w:left w:val="nil"/>
              <w:bottom w:val="single" w:sz="8" w:space="0" w:color="auto"/>
              <w:right w:val="nil"/>
            </w:tcBorders>
            <w:noWrap/>
            <w:vAlign w:val="bottom"/>
            <w:hideMark/>
          </w:tcPr>
          <w:p w14:paraId="4DBE823B" w14:textId="77777777" w:rsidR="00D15889" w:rsidRPr="00500846" w:rsidRDefault="00D15889" w:rsidP="005C1D58">
            <w:pPr>
              <w:spacing w:after="120" w:line="276" w:lineRule="auto"/>
              <w:jc w:val="both"/>
              <w:rPr>
                <w:rFonts w:ascii="Arial" w:hAnsi="Arial" w:cs="Arial"/>
              </w:rPr>
            </w:pPr>
            <w:r w:rsidRPr="00500846">
              <w:rPr>
                <w:rFonts w:ascii="Arial" w:hAnsi="Arial" w:cs="Arial"/>
              </w:rPr>
              <w:t>Déchets et résidus d’huiles</w:t>
            </w:r>
          </w:p>
        </w:tc>
        <w:tc>
          <w:tcPr>
            <w:tcW w:w="1216" w:type="dxa"/>
            <w:tcBorders>
              <w:top w:val="single" w:sz="4" w:space="0" w:color="auto"/>
              <w:left w:val="nil"/>
              <w:bottom w:val="single" w:sz="8" w:space="0" w:color="auto"/>
              <w:right w:val="nil"/>
            </w:tcBorders>
            <w:noWrap/>
            <w:vAlign w:val="bottom"/>
            <w:hideMark/>
          </w:tcPr>
          <w:p w14:paraId="2096E61B" w14:textId="77777777" w:rsidR="00D15889" w:rsidRPr="00500846" w:rsidRDefault="00D15889" w:rsidP="005C1D58">
            <w:pPr>
              <w:spacing w:after="120" w:line="276" w:lineRule="auto"/>
              <w:jc w:val="both"/>
              <w:rPr>
                <w:rFonts w:ascii="Arial" w:hAnsi="Arial" w:cs="Arial"/>
              </w:rPr>
            </w:pPr>
            <w:r w:rsidRPr="00500846">
              <w:rPr>
                <w:rFonts w:ascii="Arial" w:hAnsi="Arial" w:cs="Arial"/>
              </w:rPr>
              <w:t>Déchets municipaux</w:t>
            </w:r>
          </w:p>
        </w:tc>
        <w:tc>
          <w:tcPr>
            <w:tcW w:w="1216" w:type="dxa"/>
            <w:tcBorders>
              <w:top w:val="single" w:sz="4" w:space="0" w:color="auto"/>
              <w:left w:val="nil"/>
              <w:bottom w:val="single" w:sz="8" w:space="0" w:color="auto"/>
              <w:right w:val="nil"/>
            </w:tcBorders>
            <w:noWrap/>
            <w:vAlign w:val="bottom"/>
            <w:hideMark/>
          </w:tcPr>
          <w:p w14:paraId="58065706" w14:textId="77777777" w:rsidR="00D15889" w:rsidRPr="00500846" w:rsidRDefault="00D15889" w:rsidP="005C1D58">
            <w:pPr>
              <w:spacing w:after="120" w:line="276" w:lineRule="auto"/>
              <w:jc w:val="both"/>
              <w:rPr>
                <w:rFonts w:ascii="Arial" w:hAnsi="Arial" w:cs="Arial"/>
              </w:rPr>
            </w:pPr>
            <w:r w:rsidRPr="00500846">
              <w:rPr>
                <w:rFonts w:ascii="Arial" w:hAnsi="Arial" w:cs="Arial"/>
              </w:rPr>
              <w:t>Résidus forestiers</w:t>
            </w:r>
          </w:p>
        </w:tc>
        <w:tc>
          <w:tcPr>
            <w:tcW w:w="1216" w:type="dxa"/>
            <w:tcBorders>
              <w:top w:val="single" w:sz="4" w:space="0" w:color="auto"/>
              <w:left w:val="nil"/>
              <w:bottom w:val="single" w:sz="8" w:space="0" w:color="auto"/>
              <w:right w:val="nil"/>
            </w:tcBorders>
            <w:noWrap/>
            <w:vAlign w:val="bottom"/>
            <w:hideMark/>
          </w:tcPr>
          <w:p w14:paraId="06456A62" w14:textId="77777777" w:rsidR="00D15889" w:rsidRPr="00500846" w:rsidRDefault="00D15889" w:rsidP="005C1D58">
            <w:pPr>
              <w:spacing w:after="120" w:line="276" w:lineRule="auto"/>
              <w:jc w:val="both"/>
              <w:rPr>
                <w:rFonts w:ascii="Arial" w:hAnsi="Arial" w:cs="Arial"/>
              </w:rPr>
            </w:pPr>
            <w:r w:rsidRPr="00500846">
              <w:rPr>
                <w:rFonts w:ascii="Arial" w:hAnsi="Arial" w:cs="Arial"/>
              </w:rPr>
              <w:t>Résidus agricoles</w:t>
            </w:r>
          </w:p>
        </w:tc>
      </w:tr>
      <w:tr w:rsidR="00D15889" w:rsidRPr="00500846" w14:paraId="2FC4A90E" w14:textId="77777777" w:rsidTr="005C1D58">
        <w:trPr>
          <w:trHeight w:val="300"/>
        </w:trPr>
        <w:tc>
          <w:tcPr>
            <w:tcW w:w="2156" w:type="dxa"/>
            <w:tcBorders>
              <w:top w:val="nil"/>
              <w:left w:val="nil"/>
              <w:bottom w:val="nil"/>
              <w:right w:val="nil"/>
            </w:tcBorders>
            <w:noWrap/>
            <w:vAlign w:val="bottom"/>
            <w:hideMark/>
          </w:tcPr>
          <w:p w14:paraId="46998063" w14:textId="77777777" w:rsidR="00D15889" w:rsidRPr="00500846" w:rsidRDefault="00D15889" w:rsidP="005C1D58">
            <w:pPr>
              <w:spacing w:after="120" w:line="276" w:lineRule="auto"/>
              <w:jc w:val="both"/>
              <w:rPr>
                <w:rFonts w:ascii="Arial" w:hAnsi="Arial" w:cs="Arial"/>
              </w:rPr>
            </w:pPr>
            <w:r w:rsidRPr="00500846">
              <w:rPr>
                <w:rFonts w:ascii="Arial" w:hAnsi="Arial" w:cs="Arial"/>
              </w:rPr>
              <w:t>Monde</w:t>
            </w:r>
          </w:p>
        </w:tc>
        <w:tc>
          <w:tcPr>
            <w:tcW w:w="1216" w:type="dxa"/>
            <w:tcBorders>
              <w:top w:val="nil"/>
              <w:left w:val="nil"/>
              <w:bottom w:val="nil"/>
              <w:right w:val="nil"/>
            </w:tcBorders>
            <w:noWrap/>
            <w:vAlign w:val="bottom"/>
            <w:hideMark/>
          </w:tcPr>
          <w:p w14:paraId="09DF2445" w14:textId="77777777" w:rsidR="00D15889" w:rsidRPr="00500846" w:rsidRDefault="00D15889" w:rsidP="005C1D58">
            <w:pPr>
              <w:spacing w:after="120" w:line="276" w:lineRule="auto"/>
              <w:jc w:val="both"/>
              <w:rPr>
                <w:rFonts w:ascii="Arial" w:hAnsi="Arial" w:cs="Arial"/>
              </w:rPr>
            </w:pPr>
            <w:r w:rsidRPr="00500846">
              <w:rPr>
                <w:rFonts w:ascii="Arial" w:hAnsi="Arial" w:cs="Arial"/>
              </w:rPr>
              <w:t>~ 40 Mt</w:t>
            </w:r>
          </w:p>
        </w:tc>
        <w:tc>
          <w:tcPr>
            <w:tcW w:w="1216" w:type="dxa"/>
            <w:tcBorders>
              <w:top w:val="nil"/>
              <w:left w:val="nil"/>
              <w:bottom w:val="nil"/>
              <w:right w:val="nil"/>
            </w:tcBorders>
            <w:noWrap/>
            <w:vAlign w:val="bottom"/>
            <w:hideMark/>
          </w:tcPr>
          <w:p w14:paraId="507F176C" w14:textId="77777777" w:rsidR="00D15889" w:rsidRPr="00500846" w:rsidRDefault="00D15889" w:rsidP="005C1D58">
            <w:pPr>
              <w:spacing w:after="120" w:line="276" w:lineRule="auto"/>
              <w:jc w:val="both"/>
              <w:rPr>
                <w:rFonts w:ascii="Arial" w:hAnsi="Arial" w:cs="Arial"/>
              </w:rPr>
            </w:pPr>
            <w:r w:rsidRPr="00500846">
              <w:rPr>
                <w:rFonts w:ascii="Arial" w:hAnsi="Arial" w:cs="Arial"/>
              </w:rPr>
              <w:t>2590 Mt</w:t>
            </w:r>
          </w:p>
        </w:tc>
        <w:tc>
          <w:tcPr>
            <w:tcW w:w="1216" w:type="dxa"/>
            <w:tcBorders>
              <w:top w:val="nil"/>
              <w:left w:val="nil"/>
              <w:bottom w:val="nil"/>
              <w:right w:val="nil"/>
            </w:tcBorders>
            <w:noWrap/>
            <w:vAlign w:val="bottom"/>
            <w:hideMark/>
          </w:tcPr>
          <w:p w14:paraId="36B27874" w14:textId="77777777" w:rsidR="00D15889" w:rsidRPr="00500846" w:rsidRDefault="00D15889" w:rsidP="005C1D58">
            <w:pPr>
              <w:spacing w:after="120" w:line="276" w:lineRule="auto"/>
              <w:jc w:val="both"/>
              <w:rPr>
                <w:rFonts w:ascii="Arial" w:hAnsi="Arial" w:cs="Arial"/>
              </w:rPr>
            </w:pPr>
            <w:r w:rsidRPr="00500846">
              <w:rPr>
                <w:rFonts w:ascii="Arial" w:hAnsi="Arial" w:cs="Arial"/>
              </w:rPr>
              <w:t>4670 Mt</w:t>
            </w:r>
          </w:p>
        </w:tc>
        <w:tc>
          <w:tcPr>
            <w:tcW w:w="1216" w:type="dxa"/>
            <w:tcBorders>
              <w:top w:val="nil"/>
              <w:left w:val="nil"/>
              <w:bottom w:val="nil"/>
              <w:right w:val="nil"/>
            </w:tcBorders>
            <w:noWrap/>
            <w:vAlign w:val="bottom"/>
            <w:hideMark/>
          </w:tcPr>
          <w:p w14:paraId="77C3DB65" w14:textId="77777777" w:rsidR="00D15889" w:rsidRPr="00500846" w:rsidRDefault="00D15889" w:rsidP="005C1D58">
            <w:pPr>
              <w:spacing w:after="120" w:line="276" w:lineRule="auto"/>
              <w:jc w:val="both"/>
              <w:rPr>
                <w:rFonts w:ascii="Arial" w:hAnsi="Arial" w:cs="Arial"/>
              </w:rPr>
            </w:pPr>
            <w:r w:rsidRPr="00500846">
              <w:rPr>
                <w:rFonts w:ascii="Arial" w:hAnsi="Arial" w:cs="Arial"/>
              </w:rPr>
              <w:t>3940 Mt</w:t>
            </w:r>
          </w:p>
        </w:tc>
      </w:tr>
      <w:tr w:rsidR="00D15889" w:rsidRPr="00500846" w14:paraId="09A7922F" w14:textId="77777777" w:rsidTr="005C1D58">
        <w:trPr>
          <w:trHeight w:val="300"/>
        </w:trPr>
        <w:tc>
          <w:tcPr>
            <w:tcW w:w="2156" w:type="dxa"/>
            <w:tcBorders>
              <w:top w:val="nil"/>
              <w:left w:val="nil"/>
              <w:bottom w:val="single" w:sz="4" w:space="0" w:color="auto"/>
              <w:right w:val="nil"/>
            </w:tcBorders>
            <w:noWrap/>
            <w:vAlign w:val="bottom"/>
            <w:hideMark/>
          </w:tcPr>
          <w:p w14:paraId="26963F33" w14:textId="77777777" w:rsidR="00D15889" w:rsidRPr="00500846" w:rsidRDefault="00D15889" w:rsidP="005C1D58">
            <w:pPr>
              <w:spacing w:after="120" w:line="276" w:lineRule="auto"/>
              <w:jc w:val="both"/>
              <w:rPr>
                <w:rFonts w:ascii="Arial" w:hAnsi="Arial" w:cs="Arial"/>
              </w:rPr>
            </w:pPr>
            <w:r w:rsidRPr="00500846">
              <w:rPr>
                <w:rFonts w:ascii="Arial" w:hAnsi="Arial" w:cs="Arial"/>
              </w:rPr>
              <w:t>Europe</w:t>
            </w:r>
          </w:p>
        </w:tc>
        <w:tc>
          <w:tcPr>
            <w:tcW w:w="1216" w:type="dxa"/>
            <w:tcBorders>
              <w:top w:val="nil"/>
              <w:left w:val="nil"/>
              <w:bottom w:val="single" w:sz="4" w:space="0" w:color="auto"/>
              <w:right w:val="nil"/>
            </w:tcBorders>
            <w:noWrap/>
            <w:vAlign w:val="bottom"/>
            <w:hideMark/>
          </w:tcPr>
          <w:p w14:paraId="6D035B72" w14:textId="77777777" w:rsidR="00D15889" w:rsidRPr="00500846" w:rsidRDefault="00D15889" w:rsidP="005C1D58">
            <w:pPr>
              <w:spacing w:after="120" w:line="276" w:lineRule="auto"/>
              <w:jc w:val="both"/>
              <w:rPr>
                <w:rFonts w:ascii="Arial" w:hAnsi="Arial" w:cs="Arial"/>
              </w:rPr>
            </w:pPr>
            <w:r w:rsidRPr="00500846">
              <w:rPr>
                <w:rFonts w:ascii="Arial" w:hAnsi="Arial" w:cs="Arial"/>
              </w:rPr>
              <w:t>~ 5 Mt</w:t>
            </w:r>
          </w:p>
        </w:tc>
        <w:tc>
          <w:tcPr>
            <w:tcW w:w="1216" w:type="dxa"/>
            <w:tcBorders>
              <w:top w:val="nil"/>
              <w:left w:val="nil"/>
              <w:bottom w:val="single" w:sz="4" w:space="0" w:color="auto"/>
              <w:right w:val="nil"/>
            </w:tcBorders>
            <w:noWrap/>
            <w:vAlign w:val="bottom"/>
            <w:hideMark/>
          </w:tcPr>
          <w:p w14:paraId="34D80F0A" w14:textId="77777777" w:rsidR="00D15889" w:rsidRPr="00500846" w:rsidRDefault="00D15889" w:rsidP="005C1D58">
            <w:pPr>
              <w:spacing w:after="120" w:line="276" w:lineRule="auto"/>
              <w:jc w:val="both"/>
              <w:rPr>
                <w:rFonts w:ascii="Arial" w:hAnsi="Arial" w:cs="Arial"/>
              </w:rPr>
            </w:pPr>
            <w:r w:rsidRPr="00500846">
              <w:rPr>
                <w:rFonts w:ascii="Arial" w:hAnsi="Arial" w:cs="Arial"/>
              </w:rPr>
              <w:t>440 Mt</w:t>
            </w:r>
          </w:p>
        </w:tc>
        <w:tc>
          <w:tcPr>
            <w:tcW w:w="1216" w:type="dxa"/>
            <w:tcBorders>
              <w:top w:val="nil"/>
              <w:left w:val="nil"/>
              <w:bottom w:val="single" w:sz="4" w:space="0" w:color="auto"/>
              <w:right w:val="nil"/>
            </w:tcBorders>
            <w:noWrap/>
            <w:vAlign w:val="bottom"/>
            <w:hideMark/>
          </w:tcPr>
          <w:p w14:paraId="5FC5B864" w14:textId="77777777" w:rsidR="00D15889" w:rsidRPr="00500846" w:rsidRDefault="00D15889" w:rsidP="005C1D58">
            <w:pPr>
              <w:spacing w:after="120" w:line="276" w:lineRule="auto"/>
              <w:jc w:val="both"/>
              <w:rPr>
                <w:rFonts w:ascii="Arial" w:hAnsi="Arial" w:cs="Arial"/>
              </w:rPr>
            </w:pPr>
            <w:r w:rsidRPr="00500846">
              <w:rPr>
                <w:rFonts w:ascii="Arial" w:hAnsi="Arial" w:cs="Arial"/>
              </w:rPr>
              <w:t>935 Mt</w:t>
            </w:r>
          </w:p>
        </w:tc>
        <w:tc>
          <w:tcPr>
            <w:tcW w:w="1216" w:type="dxa"/>
            <w:tcBorders>
              <w:top w:val="nil"/>
              <w:left w:val="nil"/>
              <w:bottom w:val="single" w:sz="4" w:space="0" w:color="auto"/>
              <w:right w:val="nil"/>
            </w:tcBorders>
            <w:noWrap/>
            <w:vAlign w:val="bottom"/>
            <w:hideMark/>
          </w:tcPr>
          <w:p w14:paraId="3F3FB24A" w14:textId="77777777" w:rsidR="00D15889" w:rsidRPr="00500846" w:rsidRDefault="00D15889" w:rsidP="005C1D58">
            <w:pPr>
              <w:spacing w:after="120" w:line="276" w:lineRule="auto"/>
              <w:jc w:val="both"/>
              <w:rPr>
                <w:rFonts w:ascii="Arial" w:hAnsi="Arial" w:cs="Arial"/>
              </w:rPr>
            </w:pPr>
            <w:r w:rsidRPr="00500846">
              <w:rPr>
                <w:rFonts w:ascii="Arial" w:hAnsi="Arial" w:cs="Arial"/>
              </w:rPr>
              <w:t>550 Mt</w:t>
            </w:r>
          </w:p>
        </w:tc>
      </w:tr>
    </w:tbl>
    <w:p w14:paraId="7C9FCB9E" w14:textId="77777777" w:rsidR="00D15889" w:rsidRPr="00500846" w:rsidRDefault="00D15889" w:rsidP="00D15889">
      <w:pPr>
        <w:shd w:val="clear" w:color="auto" w:fill="FFFFFF"/>
        <w:spacing w:after="120" w:line="276" w:lineRule="auto"/>
        <w:jc w:val="both"/>
        <w:outlineLvl w:val="0"/>
        <w:rPr>
          <w:rFonts w:ascii="Nunito" w:eastAsia="Times New Roman" w:hAnsi="Nunito" w:cs="Times New Roman"/>
          <w:color w:val="374649"/>
          <w:kern w:val="36"/>
          <w:sz w:val="40"/>
          <w:szCs w:val="40"/>
          <w:lang w:eastAsia="fr-FR"/>
        </w:rPr>
      </w:pPr>
    </w:p>
    <w:p w14:paraId="19537598" w14:textId="77777777" w:rsidR="00D15889" w:rsidRDefault="00D15889" w:rsidP="00D15889">
      <w:pPr>
        <w:spacing w:after="120" w:line="276" w:lineRule="auto"/>
        <w:jc w:val="both"/>
        <w:rPr>
          <w:rFonts w:ascii="Arial" w:hAnsi="Arial" w:cs="Arial"/>
          <w:b/>
          <w:bCs/>
          <w:u w:val="single"/>
        </w:rPr>
      </w:pPr>
    </w:p>
    <w:p w14:paraId="31D3122D" w14:textId="77777777" w:rsidR="00D15889" w:rsidRDefault="00D15889" w:rsidP="00D15889">
      <w:pPr>
        <w:rPr>
          <w:rFonts w:ascii="Arial" w:hAnsi="Arial" w:cs="Arial"/>
          <w:b/>
          <w:bCs/>
          <w:u w:val="single"/>
        </w:rPr>
      </w:pPr>
      <w:r>
        <w:rPr>
          <w:rFonts w:ascii="Arial" w:hAnsi="Arial" w:cs="Arial"/>
          <w:b/>
          <w:bCs/>
          <w:u w:val="single"/>
        </w:rPr>
        <w:br w:type="page"/>
      </w:r>
    </w:p>
    <w:p w14:paraId="096D068B" w14:textId="77777777" w:rsidR="00D15889" w:rsidRPr="00DF57C6" w:rsidRDefault="00D15889" w:rsidP="00D15889">
      <w:pPr>
        <w:spacing w:before="240" w:after="120" w:line="276" w:lineRule="auto"/>
        <w:contextualSpacing/>
        <w:jc w:val="center"/>
        <w:rPr>
          <w:rFonts w:ascii="Arial" w:hAnsi="Arial" w:cs="Arial"/>
          <w:b/>
          <w:u w:val="single"/>
          <w:lang w:val="fr-BE"/>
        </w:rPr>
      </w:pPr>
      <w:r w:rsidRPr="00DF57C6">
        <w:rPr>
          <w:rFonts w:ascii="Arial" w:hAnsi="Arial" w:cs="Arial"/>
          <w:b/>
          <w:u w:val="single"/>
          <w:lang w:val="fr-BE"/>
        </w:rPr>
        <w:lastRenderedPageBreak/>
        <w:t xml:space="preserve">Annexe </w:t>
      </w:r>
      <w:r>
        <w:rPr>
          <w:rFonts w:ascii="Arial" w:hAnsi="Arial" w:cs="Arial"/>
          <w:b/>
          <w:u w:val="single"/>
          <w:lang w:val="fr-BE"/>
        </w:rPr>
        <w:t>3</w:t>
      </w:r>
      <w:r w:rsidRPr="00DF57C6">
        <w:rPr>
          <w:rFonts w:ascii="Arial" w:hAnsi="Arial" w:cs="Arial"/>
          <w:b/>
          <w:u w:val="single"/>
          <w:lang w:val="fr-BE"/>
        </w:rPr>
        <w:t xml:space="preserve"> - Biocarburants – </w:t>
      </w:r>
      <w:r>
        <w:rPr>
          <w:rFonts w:ascii="Arial" w:hAnsi="Arial" w:cs="Arial"/>
          <w:b/>
          <w:u w:val="single"/>
          <w:lang w:val="fr-BE"/>
        </w:rPr>
        <w:t xml:space="preserve">La réglementation </w:t>
      </w:r>
    </w:p>
    <w:p w14:paraId="36A0ACD5" w14:textId="77777777" w:rsidR="00D15889" w:rsidRPr="00DF57C6" w:rsidRDefault="00D15889" w:rsidP="00D15889">
      <w:pPr>
        <w:spacing w:before="240" w:after="120" w:line="276" w:lineRule="auto"/>
        <w:ind w:left="360"/>
        <w:contextualSpacing/>
        <w:jc w:val="both"/>
        <w:rPr>
          <w:rFonts w:ascii="Arial" w:hAnsi="Arial" w:cs="Arial"/>
          <w:bCs/>
          <w:lang w:val="fr-BE"/>
        </w:rPr>
      </w:pPr>
    </w:p>
    <w:p w14:paraId="4D1332E8" w14:textId="77777777" w:rsidR="00D15889" w:rsidRPr="00DF57C6" w:rsidRDefault="00D15889" w:rsidP="00D15889">
      <w:pPr>
        <w:spacing w:after="120" w:line="276" w:lineRule="auto"/>
        <w:ind w:left="1500"/>
        <w:jc w:val="both"/>
        <w:rPr>
          <w:rFonts w:ascii="Arial" w:hAnsi="Arial" w:cs="Arial"/>
          <w:bCs/>
          <w:lang w:val="en-US"/>
        </w:rPr>
      </w:pPr>
    </w:p>
    <w:p w14:paraId="7494CBB7" w14:textId="77777777" w:rsidR="00D15889" w:rsidRPr="00DF57C6" w:rsidRDefault="00D15889" w:rsidP="00D15889">
      <w:pPr>
        <w:numPr>
          <w:ilvl w:val="0"/>
          <w:numId w:val="3"/>
        </w:numPr>
        <w:spacing w:after="120" w:line="276" w:lineRule="auto"/>
        <w:jc w:val="both"/>
        <w:rPr>
          <w:rFonts w:ascii="Arial" w:hAnsi="Arial" w:cs="Arial"/>
          <w:b/>
          <w:lang w:val="fr-BE"/>
        </w:rPr>
      </w:pPr>
      <w:r w:rsidRPr="00DF57C6">
        <w:rPr>
          <w:rFonts w:ascii="Arial" w:hAnsi="Arial" w:cs="Arial"/>
          <w:b/>
          <w:lang w:val="fr-BE"/>
        </w:rPr>
        <w:t>Une réglementation adaptée est clé pour le développement des biocarburants</w:t>
      </w:r>
    </w:p>
    <w:p w14:paraId="0B5818BB" w14:textId="77777777" w:rsidR="00D15889" w:rsidRPr="00DF57C6" w:rsidRDefault="00D15889" w:rsidP="00D15889">
      <w:pPr>
        <w:numPr>
          <w:ilvl w:val="0"/>
          <w:numId w:val="6"/>
        </w:numPr>
        <w:spacing w:after="120" w:line="276" w:lineRule="auto"/>
        <w:jc w:val="both"/>
        <w:rPr>
          <w:rFonts w:ascii="Arial" w:hAnsi="Arial" w:cs="Arial"/>
          <w:b/>
          <w:lang w:val="fr-BE"/>
        </w:rPr>
      </w:pPr>
      <w:r w:rsidRPr="00DF57C6">
        <w:rPr>
          <w:rFonts w:ascii="Arial" w:hAnsi="Arial" w:cs="Arial"/>
          <w:b/>
          <w:lang w:val="fr-BE"/>
        </w:rPr>
        <w:t xml:space="preserve">Stabilité règlementaire : </w:t>
      </w:r>
      <w:r w:rsidRPr="00DF57C6">
        <w:rPr>
          <w:rFonts w:ascii="Arial" w:hAnsi="Arial" w:cs="Arial"/>
          <w:bCs/>
          <w:lang w:val="fr-BE"/>
        </w:rPr>
        <w:t>nécessité d’une législation et réglementation stable permettant aux investisseurs de prendre des décisions d’investissement (actuellement remise en cause annuellement dans le PLF - porter à 5 ans minimum comme la PPE)</w:t>
      </w:r>
    </w:p>
    <w:p w14:paraId="4DB96B1D" w14:textId="77777777" w:rsidR="00D15889" w:rsidRPr="00DF57C6" w:rsidRDefault="00D15889" w:rsidP="00D15889">
      <w:pPr>
        <w:numPr>
          <w:ilvl w:val="0"/>
          <w:numId w:val="6"/>
        </w:numPr>
        <w:spacing w:after="120" w:line="276" w:lineRule="auto"/>
        <w:jc w:val="both"/>
        <w:rPr>
          <w:rFonts w:ascii="Arial" w:hAnsi="Arial" w:cs="Arial"/>
          <w:bCs/>
          <w:lang w:val="fr-BE"/>
        </w:rPr>
      </w:pPr>
      <w:proofErr w:type="spellStart"/>
      <w:r w:rsidRPr="00DF57C6">
        <w:rPr>
          <w:rFonts w:ascii="Arial" w:hAnsi="Arial" w:cs="Arial"/>
          <w:b/>
          <w:lang w:val="fr-BE"/>
        </w:rPr>
        <w:t>Incentives</w:t>
      </w:r>
      <w:proofErr w:type="spellEnd"/>
      <w:r w:rsidRPr="00DF57C6">
        <w:rPr>
          <w:rFonts w:ascii="Arial" w:hAnsi="Arial" w:cs="Arial"/>
          <w:b/>
          <w:lang w:val="fr-BE"/>
        </w:rPr>
        <w:t xml:space="preserve"> ou pénalités : </w:t>
      </w:r>
      <w:r w:rsidRPr="00DF57C6">
        <w:rPr>
          <w:rFonts w:ascii="Arial" w:hAnsi="Arial" w:cs="Arial"/>
          <w:bCs/>
          <w:lang w:val="fr-BE"/>
        </w:rPr>
        <w:t>contrairement au système mis en place aux US (</w:t>
      </w:r>
      <w:proofErr w:type="spellStart"/>
      <w:r w:rsidRPr="00DF57C6">
        <w:rPr>
          <w:rFonts w:ascii="Arial" w:hAnsi="Arial" w:cs="Arial"/>
          <w:bCs/>
          <w:lang w:val="fr-BE"/>
        </w:rPr>
        <w:t>incentives</w:t>
      </w:r>
      <w:proofErr w:type="spellEnd"/>
      <w:r w:rsidRPr="00DF57C6">
        <w:rPr>
          <w:rFonts w:ascii="Arial" w:hAnsi="Arial" w:cs="Arial"/>
          <w:bCs/>
          <w:lang w:val="fr-BE"/>
        </w:rPr>
        <w:t xml:space="preserve"> à la production ce qui aide à la mise en place des filières), le système européen est basé sur des mandats et des pénalités (qui </w:t>
      </w:r>
      <w:r>
        <w:rPr>
          <w:rFonts w:ascii="Arial" w:hAnsi="Arial" w:cs="Arial"/>
          <w:bCs/>
          <w:lang w:val="fr-BE"/>
        </w:rPr>
        <w:t xml:space="preserve">assurent une </w:t>
      </w:r>
      <w:r w:rsidRPr="00DF57C6">
        <w:rPr>
          <w:rFonts w:ascii="Arial" w:hAnsi="Arial" w:cs="Arial"/>
          <w:bCs/>
          <w:lang w:val="fr-BE"/>
        </w:rPr>
        <w:t>demande</w:t>
      </w:r>
      <w:r>
        <w:rPr>
          <w:rFonts w:ascii="Arial" w:hAnsi="Arial" w:cs="Arial"/>
          <w:bCs/>
          <w:lang w:val="fr-BE"/>
        </w:rPr>
        <w:t xml:space="preserve"> au-delà des engagements volontaires de certains clients</w:t>
      </w:r>
      <w:r w:rsidRPr="00DF57C6">
        <w:rPr>
          <w:rFonts w:ascii="Arial" w:hAnsi="Arial" w:cs="Arial"/>
          <w:bCs/>
          <w:lang w:val="fr-BE"/>
        </w:rPr>
        <w:t xml:space="preserve">). En France, sa mise en œuvre se fait par le mécanisme de la TIRUERT. L’exemple de l’année 2022 pour le biodiesel a montré que si le niveau de pénalité n’est pas adapté, c’est-à-dire inférieur au surcoût du biocarburant, le marché disparait. Ce qui a eu comme conséquence, en 2022, que les fournisseurs ont préféré payer la pénalité ; 80% des volumes produits à La Mède ont été exportés vers l’Allemagne et le Benelux. Le signal donné aux investisseurs par un mandat et une pénalité associée est suffisant. A l’inverse, une régulation par de </w:t>
      </w:r>
      <w:proofErr w:type="spellStart"/>
      <w:r w:rsidRPr="00DF57C6">
        <w:rPr>
          <w:rFonts w:ascii="Arial" w:hAnsi="Arial" w:cs="Arial"/>
          <w:bCs/>
          <w:lang w:val="fr-BE"/>
        </w:rPr>
        <w:t>CfD</w:t>
      </w:r>
      <w:proofErr w:type="spellEnd"/>
      <w:r w:rsidRPr="00DF57C6">
        <w:rPr>
          <w:rFonts w:ascii="Arial" w:hAnsi="Arial" w:cs="Arial"/>
          <w:bCs/>
          <w:lang w:val="fr-BE"/>
        </w:rPr>
        <w:t xml:space="preserve"> qui viserait à encadrer les prix pratiqués aux clients n’inciterait pas à des investissements.</w:t>
      </w:r>
    </w:p>
    <w:p w14:paraId="5D4F25AE" w14:textId="77777777" w:rsidR="00D15889" w:rsidRPr="00DF57C6" w:rsidRDefault="00D15889" w:rsidP="00D15889">
      <w:pPr>
        <w:numPr>
          <w:ilvl w:val="0"/>
          <w:numId w:val="6"/>
        </w:numPr>
        <w:spacing w:after="120" w:line="276" w:lineRule="auto"/>
        <w:jc w:val="both"/>
        <w:rPr>
          <w:rFonts w:ascii="Arial" w:hAnsi="Arial" w:cs="Arial"/>
          <w:bCs/>
          <w:lang w:val="fr-BE"/>
        </w:rPr>
      </w:pPr>
      <w:r w:rsidRPr="00DF57C6">
        <w:rPr>
          <w:rFonts w:ascii="Arial" w:hAnsi="Arial" w:cs="Arial"/>
          <w:b/>
          <w:lang w:val="fr-BE"/>
        </w:rPr>
        <w:t xml:space="preserve">Niveau des mandats : </w:t>
      </w:r>
      <w:r w:rsidRPr="00DF57C6">
        <w:rPr>
          <w:rFonts w:ascii="Arial" w:hAnsi="Arial" w:cs="Arial"/>
          <w:bCs/>
          <w:lang w:val="fr-BE"/>
        </w:rPr>
        <w:t>Vu le coût plus élevé des carburants aériens durables par rapport au jet fossile (voir infra les ratios de prix actuels par rapport au jet fossile), c’est le niveau de mandat et la pénalité associée qui crée la demande. Une vision long terme des mandats est nécessaire pour permettre des décisions d’investissements dans de nouvelles unités de production nécessitant plusieurs années pour leur construction.</w:t>
      </w:r>
      <w:r w:rsidRPr="00F92DB7">
        <w:rPr>
          <w:rFonts w:ascii="Arial" w:hAnsi="Arial" w:cs="Arial"/>
          <w:bCs/>
          <w:lang w:val="fr-BE"/>
        </w:rPr>
        <w:t xml:space="preserve"> </w:t>
      </w:r>
      <w:r>
        <w:rPr>
          <w:rFonts w:ascii="Arial" w:hAnsi="Arial" w:cs="Arial"/>
          <w:bCs/>
          <w:lang w:val="fr-BE"/>
        </w:rPr>
        <w:t xml:space="preserve">La production actuelle de SAF s’accompagne de coproduits (essentiellement </w:t>
      </w:r>
      <w:proofErr w:type="spellStart"/>
      <w:r>
        <w:rPr>
          <w:rFonts w:ascii="Arial" w:hAnsi="Arial" w:cs="Arial"/>
          <w:bCs/>
          <w:lang w:val="fr-BE"/>
        </w:rPr>
        <w:t>bionaphta</w:t>
      </w:r>
      <w:proofErr w:type="spellEnd"/>
      <w:r>
        <w:rPr>
          <w:rFonts w:ascii="Arial" w:hAnsi="Arial" w:cs="Arial"/>
          <w:bCs/>
          <w:lang w:val="fr-BE"/>
        </w:rPr>
        <w:t xml:space="preserve"> à destination du marché essence) : les niveaux de mandats et les pénalités associées doivent également valoriser ces coproduits pour soutenir les investissements. </w:t>
      </w:r>
    </w:p>
    <w:p w14:paraId="40655E80" w14:textId="77777777" w:rsidR="00D15889" w:rsidRPr="00DF57C6" w:rsidRDefault="00D15889" w:rsidP="00D15889">
      <w:pPr>
        <w:spacing w:after="120" w:line="276" w:lineRule="auto"/>
        <w:ind w:left="420"/>
        <w:jc w:val="both"/>
        <w:rPr>
          <w:rFonts w:ascii="Arial" w:hAnsi="Arial" w:cs="Arial"/>
          <w:bCs/>
          <w:lang w:val="fr-BE"/>
        </w:rPr>
      </w:pPr>
    </w:p>
    <w:p w14:paraId="0BE7299F" w14:textId="77777777" w:rsidR="00D15889" w:rsidRPr="00DF57C6" w:rsidRDefault="00D15889" w:rsidP="00D15889">
      <w:pPr>
        <w:numPr>
          <w:ilvl w:val="0"/>
          <w:numId w:val="6"/>
        </w:numPr>
        <w:spacing w:after="120" w:line="276" w:lineRule="auto"/>
        <w:jc w:val="both"/>
        <w:rPr>
          <w:rFonts w:ascii="Arial" w:hAnsi="Arial" w:cs="Arial"/>
          <w:bCs/>
          <w:lang w:val="fr-BE"/>
        </w:rPr>
      </w:pPr>
      <w:r w:rsidRPr="00DF57C6">
        <w:rPr>
          <w:rFonts w:ascii="Arial" w:hAnsi="Arial" w:cs="Arial"/>
          <w:b/>
          <w:lang w:val="fr-BE"/>
        </w:rPr>
        <w:t xml:space="preserve">Matières premières éligibles : </w:t>
      </w:r>
      <w:proofErr w:type="spellStart"/>
      <w:r w:rsidRPr="00DF57C6">
        <w:rPr>
          <w:rFonts w:ascii="Arial" w:hAnsi="Arial" w:cs="Arial"/>
          <w:bCs/>
          <w:lang w:val="fr-BE"/>
        </w:rPr>
        <w:t>ll</w:t>
      </w:r>
      <w:proofErr w:type="spellEnd"/>
      <w:r w:rsidRPr="00DF57C6">
        <w:rPr>
          <w:rFonts w:ascii="Arial" w:hAnsi="Arial" w:cs="Arial"/>
          <w:bCs/>
          <w:lang w:val="fr-BE"/>
        </w:rPr>
        <w:t xml:space="preserve"> est indispensable que la définition des carburants aériens durables autorise, en plus des matières premières déjà éligibles (celles listées par la Directive Renouvelables RED – Annexe IX A et B), d’utiliser tout le non 1G répondant aux critères de durabilité et de certification de la RED, </w:t>
      </w:r>
      <w:r>
        <w:rPr>
          <w:rFonts w:ascii="Arial" w:hAnsi="Arial" w:cs="Arial"/>
          <w:bCs/>
          <w:lang w:val="fr-BE"/>
        </w:rPr>
        <w:t xml:space="preserve">comme c’est le cas pour </w:t>
      </w:r>
      <w:r w:rsidRPr="00DF57C6">
        <w:rPr>
          <w:rFonts w:ascii="Arial" w:hAnsi="Arial" w:cs="Arial"/>
          <w:bCs/>
          <w:lang w:val="fr-BE"/>
        </w:rPr>
        <w:t xml:space="preserve">les graisses animales de </w:t>
      </w:r>
      <w:r w:rsidRPr="00DF57C6">
        <w:rPr>
          <w:rFonts w:ascii="Arial" w:hAnsi="Arial" w:cs="Arial"/>
          <w:bCs/>
          <w:lang w:val="fr-BE"/>
        </w:rPr>
        <w:lastRenderedPageBreak/>
        <w:t>Catégorie 3, de manière à avoir un potentiel de gisement suffisant pour répondre à la demande.</w:t>
      </w:r>
    </w:p>
    <w:p w14:paraId="3E34796D" w14:textId="77777777" w:rsidR="00D15889" w:rsidRDefault="00D15889" w:rsidP="00D15889">
      <w:pPr>
        <w:spacing w:before="240" w:after="120" w:line="276" w:lineRule="auto"/>
        <w:ind w:left="420"/>
        <w:jc w:val="center"/>
        <w:rPr>
          <w:rFonts w:ascii="Arial" w:hAnsi="Arial" w:cs="Arial"/>
          <w:b/>
          <w:u w:val="single"/>
          <w:lang w:val="fr-BE"/>
        </w:rPr>
      </w:pPr>
    </w:p>
    <w:p w14:paraId="7E231B11" w14:textId="77777777" w:rsidR="00D15889" w:rsidRDefault="00D15889" w:rsidP="00D15889">
      <w:pPr>
        <w:rPr>
          <w:rFonts w:ascii="Arial" w:hAnsi="Arial" w:cs="Arial"/>
          <w:b/>
          <w:u w:val="single"/>
          <w:lang w:val="fr-BE"/>
        </w:rPr>
      </w:pPr>
      <w:r>
        <w:rPr>
          <w:rFonts w:ascii="Arial" w:hAnsi="Arial" w:cs="Arial"/>
          <w:b/>
          <w:u w:val="single"/>
          <w:lang w:val="fr-BE"/>
        </w:rPr>
        <w:br w:type="page"/>
      </w:r>
    </w:p>
    <w:p w14:paraId="23D25E87" w14:textId="77777777" w:rsidR="00D15889" w:rsidRDefault="00D15889" w:rsidP="00D15889">
      <w:pPr>
        <w:spacing w:before="240" w:after="120" w:line="276" w:lineRule="auto"/>
        <w:ind w:left="420"/>
        <w:jc w:val="center"/>
        <w:rPr>
          <w:rFonts w:ascii="Arial" w:hAnsi="Arial" w:cs="Arial"/>
          <w:b/>
          <w:u w:val="single"/>
          <w:lang w:val="fr-BE"/>
        </w:rPr>
      </w:pPr>
      <w:r w:rsidRPr="00020C38">
        <w:rPr>
          <w:rFonts w:ascii="Arial" w:hAnsi="Arial" w:cs="Arial"/>
          <w:b/>
          <w:u w:val="single"/>
          <w:lang w:val="fr-BE"/>
        </w:rPr>
        <w:lastRenderedPageBreak/>
        <w:t xml:space="preserve">Annexe </w:t>
      </w:r>
      <w:r>
        <w:rPr>
          <w:rFonts w:ascii="Arial" w:hAnsi="Arial" w:cs="Arial"/>
          <w:b/>
          <w:u w:val="single"/>
          <w:lang w:val="fr-BE"/>
        </w:rPr>
        <w:t>4</w:t>
      </w:r>
      <w:r w:rsidRPr="00020C38">
        <w:rPr>
          <w:rFonts w:ascii="Arial" w:hAnsi="Arial" w:cs="Arial"/>
          <w:b/>
          <w:u w:val="single"/>
          <w:lang w:val="fr-BE"/>
        </w:rPr>
        <w:t xml:space="preserve"> </w:t>
      </w:r>
      <w:r>
        <w:rPr>
          <w:rFonts w:ascii="Arial" w:hAnsi="Arial" w:cs="Arial"/>
          <w:b/>
          <w:u w:val="single"/>
          <w:lang w:val="fr-BE"/>
        </w:rPr>
        <w:t>–</w:t>
      </w:r>
      <w:r w:rsidRPr="00020C38">
        <w:rPr>
          <w:rFonts w:ascii="Arial" w:hAnsi="Arial" w:cs="Arial"/>
          <w:b/>
          <w:u w:val="single"/>
          <w:lang w:val="fr-BE"/>
        </w:rPr>
        <w:t xml:space="preserve"> </w:t>
      </w:r>
      <w:r>
        <w:rPr>
          <w:rFonts w:ascii="Arial" w:hAnsi="Arial" w:cs="Arial"/>
          <w:b/>
          <w:u w:val="single"/>
          <w:lang w:val="fr-BE"/>
        </w:rPr>
        <w:t xml:space="preserve">La branche Raffinage Chimie de </w:t>
      </w:r>
      <w:proofErr w:type="spellStart"/>
      <w:r>
        <w:rPr>
          <w:rFonts w:ascii="Arial" w:hAnsi="Arial" w:cs="Arial"/>
          <w:b/>
          <w:u w:val="single"/>
          <w:lang w:val="fr-BE"/>
        </w:rPr>
        <w:t>TotalEnergies</w:t>
      </w:r>
      <w:proofErr w:type="spellEnd"/>
      <w:r w:rsidRPr="00020C38">
        <w:rPr>
          <w:rFonts w:ascii="Arial" w:hAnsi="Arial" w:cs="Arial"/>
          <w:b/>
          <w:u w:val="single"/>
          <w:lang w:val="fr-BE"/>
        </w:rPr>
        <w:t xml:space="preserve"> </w:t>
      </w:r>
    </w:p>
    <w:p w14:paraId="5881248D" w14:textId="77777777" w:rsidR="00D15889" w:rsidRDefault="00D15889" w:rsidP="00D15889">
      <w:pPr>
        <w:spacing w:before="240" w:after="120" w:line="276" w:lineRule="auto"/>
        <w:ind w:left="420"/>
        <w:jc w:val="center"/>
        <w:rPr>
          <w:rFonts w:ascii="Arial" w:hAnsi="Arial" w:cs="Arial"/>
          <w:b/>
          <w:u w:val="single"/>
          <w:lang w:val="fr-BE"/>
        </w:rPr>
      </w:pPr>
    </w:p>
    <w:p w14:paraId="6D64284F" w14:textId="77777777" w:rsidR="00D15889" w:rsidRDefault="00D15889" w:rsidP="00D15889">
      <w:pPr>
        <w:spacing w:before="240" w:after="120" w:line="276" w:lineRule="auto"/>
        <w:ind w:left="420"/>
        <w:jc w:val="center"/>
      </w:pPr>
      <w:hyperlink r:id="rId13" w:history="1">
        <w:r>
          <w:rPr>
            <w:rStyle w:val="Lienhypertexte"/>
          </w:rPr>
          <w:t>Raffinage et pétrochimie : transformation du pétrole brut et du gaz naturel | TotalEnergies.com</w:t>
        </w:r>
      </w:hyperlink>
    </w:p>
    <w:p w14:paraId="366B5EE7" w14:textId="77777777" w:rsidR="00D15889" w:rsidRPr="004C22B2" w:rsidRDefault="00D15889" w:rsidP="00D15889">
      <w:pPr>
        <w:spacing w:before="240" w:after="120" w:line="276" w:lineRule="auto"/>
        <w:ind w:left="420"/>
        <w:jc w:val="center"/>
      </w:pPr>
    </w:p>
    <w:p w14:paraId="502495AA" w14:textId="77777777" w:rsidR="00D15889" w:rsidRDefault="00D15889" w:rsidP="00D15889">
      <w:pPr>
        <w:pBdr>
          <w:top w:val="single" w:sz="4" w:space="1" w:color="auto"/>
          <w:left w:val="single" w:sz="4" w:space="4" w:color="auto"/>
          <w:bottom w:val="single" w:sz="4" w:space="1" w:color="auto"/>
          <w:right w:val="single" w:sz="4" w:space="4" w:color="auto"/>
        </w:pBdr>
        <w:spacing w:after="120" w:line="276" w:lineRule="auto"/>
        <w:ind w:left="420"/>
        <w:jc w:val="both"/>
        <w:rPr>
          <w:rFonts w:ascii="Arial" w:hAnsi="Arial" w:cs="Arial"/>
        </w:rPr>
      </w:pPr>
    </w:p>
    <w:p w14:paraId="268E7B1E" w14:textId="77777777" w:rsidR="00D15889" w:rsidRPr="0028534D" w:rsidRDefault="00D15889" w:rsidP="00D15889">
      <w:pPr>
        <w:pBdr>
          <w:top w:val="single" w:sz="4" w:space="1" w:color="auto"/>
          <w:left w:val="single" w:sz="4" w:space="4" w:color="auto"/>
          <w:bottom w:val="single" w:sz="4" w:space="1" w:color="auto"/>
          <w:right w:val="single" w:sz="4" w:space="4" w:color="auto"/>
        </w:pBdr>
        <w:spacing w:after="120" w:line="276" w:lineRule="auto"/>
        <w:ind w:left="420"/>
        <w:jc w:val="both"/>
        <w:rPr>
          <w:rFonts w:ascii="Arial" w:hAnsi="Arial" w:cs="Arial"/>
        </w:rPr>
      </w:pPr>
      <w:r w:rsidRPr="0028534D">
        <w:rPr>
          <w:rFonts w:ascii="Arial" w:hAnsi="Arial" w:cs="Arial"/>
        </w:rPr>
        <w:t xml:space="preserve">La branche Raffinage-Chimie a pour mission de produire </w:t>
      </w:r>
      <w:r w:rsidRPr="0028534D">
        <w:rPr>
          <w:rFonts w:ascii="Arial" w:hAnsi="Arial" w:cs="Arial"/>
          <w:b/>
          <w:bCs/>
        </w:rPr>
        <w:t>des carburants et des plastiques qui sont indispensables à la vie quotidienne</w:t>
      </w:r>
      <w:r w:rsidRPr="0028534D">
        <w:rPr>
          <w:rFonts w:ascii="Arial" w:hAnsi="Arial" w:cs="Arial"/>
        </w:rPr>
        <w:t xml:space="preserve"> pour se déplacer, se chauffer, se loger, se nourrir ou encore se soigner. Ces produits sont fabriqués à partir </w:t>
      </w:r>
      <w:r w:rsidRPr="0028534D">
        <w:rPr>
          <w:rFonts w:ascii="Arial" w:hAnsi="Arial" w:cs="Arial"/>
          <w:b/>
          <w:bCs/>
        </w:rPr>
        <w:t>de différentes matières premières</w:t>
      </w:r>
      <w:r w:rsidRPr="0028534D">
        <w:rPr>
          <w:rFonts w:ascii="Arial" w:hAnsi="Arial" w:cs="Arial"/>
        </w:rPr>
        <w:t xml:space="preserve"> : du pétrole, du gaz mais aussi des matières biosourcées (huiles végétales, etc.) ou recyclées (graisses animales, huiles de cuisson usagées, déchets plastiques, etc.).</w:t>
      </w:r>
    </w:p>
    <w:p w14:paraId="4315F801" w14:textId="77777777" w:rsidR="00D15889" w:rsidRDefault="00D15889" w:rsidP="00D15889">
      <w:pPr>
        <w:pBdr>
          <w:top w:val="single" w:sz="4" w:space="1" w:color="auto"/>
          <w:left w:val="single" w:sz="4" w:space="4" w:color="auto"/>
          <w:bottom w:val="single" w:sz="4" w:space="1" w:color="auto"/>
          <w:right w:val="single" w:sz="4" w:space="4" w:color="auto"/>
        </w:pBdr>
        <w:spacing w:after="120" w:line="276" w:lineRule="auto"/>
        <w:ind w:left="420"/>
        <w:jc w:val="both"/>
        <w:rPr>
          <w:rFonts w:ascii="Arial" w:hAnsi="Arial" w:cs="Arial"/>
        </w:rPr>
      </w:pPr>
      <w:r w:rsidRPr="0028534D">
        <w:rPr>
          <w:rFonts w:ascii="Arial" w:hAnsi="Arial" w:cs="Arial"/>
        </w:rPr>
        <w:t>Elle dispose de participations dans :​</w:t>
      </w:r>
    </w:p>
    <w:p w14:paraId="3CD80A7E" w14:textId="77777777" w:rsidR="00D15889" w:rsidRDefault="00D15889" w:rsidP="00D15889">
      <w:pPr>
        <w:pBdr>
          <w:top w:val="single" w:sz="4" w:space="1" w:color="auto"/>
          <w:left w:val="single" w:sz="4" w:space="4" w:color="auto"/>
          <w:bottom w:val="single" w:sz="4" w:space="1" w:color="auto"/>
          <w:right w:val="single" w:sz="4" w:space="4" w:color="auto"/>
        </w:pBdr>
        <w:spacing w:after="120" w:line="276" w:lineRule="auto"/>
        <w:ind w:left="420"/>
        <w:jc w:val="both"/>
        <w:rPr>
          <w:rFonts w:ascii="Arial" w:hAnsi="Arial" w:cs="Arial"/>
        </w:rPr>
      </w:pPr>
      <w:r w:rsidRPr="0028534D">
        <w:rPr>
          <w:rFonts w:ascii="Arial" w:hAnsi="Arial" w:cs="Arial"/>
        </w:rPr>
        <w:t xml:space="preserve">- </w:t>
      </w:r>
      <w:r w:rsidRPr="0028534D">
        <w:rPr>
          <w:rFonts w:ascii="Arial" w:hAnsi="Arial" w:cs="Arial"/>
          <w:b/>
          <w:bCs/>
        </w:rPr>
        <w:t>14 raffineries dont 2 bioraffineries</w:t>
      </w:r>
      <w:r w:rsidRPr="0028534D">
        <w:rPr>
          <w:rFonts w:ascii="Arial" w:hAnsi="Arial" w:cs="Arial"/>
        </w:rPr>
        <w:t> (La Mède et celle en projet de Grandpuits – France)​</w:t>
      </w:r>
    </w:p>
    <w:p w14:paraId="47174C3B" w14:textId="77777777" w:rsidR="00D15889" w:rsidRDefault="00D15889" w:rsidP="00D15889">
      <w:pPr>
        <w:pBdr>
          <w:top w:val="single" w:sz="4" w:space="1" w:color="auto"/>
          <w:left w:val="single" w:sz="4" w:space="4" w:color="auto"/>
          <w:bottom w:val="single" w:sz="4" w:space="1" w:color="auto"/>
          <w:right w:val="single" w:sz="4" w:space="4" w:color="auto"/>
        </w:pBdr>
        <w:spacing w:after="120" w:line="276" w:lineRule="auto"/>
        <w:ind w:left="420"/>
        <w:jc w:val="both"/>
        <w:rPr>
          <w:rFonts w:ascii="Arial" w:hAnsi="Arial" w:cs="Arial"/>
        </w:rPr>
      </w:pPr>
      <w:r w:rsidRPr="00FA3BDC">
        <w:rPr>
          <w:rFonts w:ascii="Arial" w:hAnsi="Arial" w:cs="Arial"/>
        </w:rPr>
        <w:t xml:space="preserve">- </w:t>
      </w:r>
      <w:r w:rsidRPr="00FA3BDC">
        <w:rPr>
          <w:rFonts w:ascii="Arial" w:hAnsi="Arial" w:cs="Arial"/>
          <w:b/>
          <w:bCs/>
        </w:rPr>
        <w:t>28 sites pétrochimiques dont 2 usines de biopolymères</w:t>
      </w:r>
      <w:r w:rsidRPr="00FA3BDC">
        <w:rPr>
          <w:rFonts w:ascii="Arial" w:hAnsi="Arial" w:cs="Arial"/>
        </w:rPr>
        <w:t> et </w:t>
      </w:r>
      <w:r w:rsidRPr="00FA3BDC">
        <w:rPr>
          <w:rFonts w:ascii="Arial" w:hAnsi="Arial" w:cs="Arial"/>
          <w:b/>
          <w:bCs/>
        </w:rPr>
        <w:t>2 usines de recyclage de plastiques</w:t>
      </w:r>
      <w:r w:rsidRPr="00FA3BDC">
        <w:rPr>
          <w:rFonts w:ascii="Arial" w:hAnsi="Arial" w:cs="Arial"/>
        </w:rPr>
        <w:t> (</w:t>
      </w:r>
      <w:proofErr w:type="spellStart"/>
      <w:r w:rsidRPr="00FA3BDC">
        <w:rPr>
          <w:rFonts w:ascii="Arial" w:hAnsi="Arial" w:cs="Arial"/>
        </w:rPr>
        <w:t>Synova</w:t>
      </w:r>
      <w:proofErr w:type="spellEnd"/>
      <w:r w:rsidRPr="00FA3BDC">
        <w:rPr>
          <w:rFonts w:ascii="Arial" w:hAnsi="Arial" w:cs="Arial"/>
        </w:rPr>
        <w:t> – France et celle en projet de Grandpuits – France)​</w:t>
      </w:r>
    </w:p>
    <w:p w14:paraId="63D43FB5" w14:textId="77777777" w:rsidR="00D15889" w:rsidRDefault="00D15889" w:rsidP="00D15889">
      <w:pPr>
        <w:pBdr>
          <w:top w:val="single" w:sz="4" w:space="1" w:color="auto"/>
          <w:left w:val="single" w:sz="4" w:space="4" w:color="auto"/>
          <w:bottom w:val="single" w:sz="4" w:space="1" w:color="auto"/>
          <w:right w:val="single" w:sz="4" w:space="4" w:color="auto"/>
        </w:pBdr>
        <w:spacing w:after="120" w:line="276" w:lineRule="auto"/>
        <w:ind w:left="420"/>
        <w:jc w:val="both"/>
        <w:rPr>
          <w:rFonts w:ascii="Arial" w:hAnsi="Arial" w:cs="Arial"/>
        </w:rPr>
      </w:pPr>
      <w:r w:rsidRPr="00FA3BDC">
        <w:rPr>
          <w:rFonts w:ascii="Arial" w:hAnsi="Arial" w:cs="Arial"/>
        </w:rPr>
        <w:t xml:space="preserve">Elle dispose également d’une filiale de </w:t>
      </w:r>
      <w:r w:rsidRPr="00FA3BDC">
        <w:rPr>
          <w:rFonts w:ascii="Arial" w:hAnsi="Arial" w:cs="Arial"/>
          <w:b/>
          <w:bCs/>
        </w:rPr>
        <w:t>chimie de spécialités, Hutchinson</w:t>
      </w:r>
      <w:r w:rsidRPr="00FA3BDC">
        <w:rPr>
          <w:rFonts w:ascii="Arial" w:hAnsi="Arial" w:cs="Arial"/>
        </w:rPr>
        <w:t>, qui est le leader mondial de la transformation des élastomères.  </w:t>
      </w:r>
    </w:p>
    <w:p w14:paraId="609CFF82" w14:textId="77777777" w:rsidR="00D15889" w:rsidRDefault="00D15889" w:rsidP="00D15889">
      <w:pPr>
        <w:pBdr>
          <w:top w:val="single" w:sz="4" w:space="1" w:color="auto"/>
          <w:left w:val="single" w:sz="4" w:space="4" w:color="auto"/>
          <w:bottom w:val="single" w:sz="4" w:space="1" w:color="auto"/>
          <w:right w:val="single" w:sz="4" w:space="4" w:color="auto"/>
        </w:pBdr>
        <w:spacing w:after="120" w:line="276" w:lineRule="auto"/>
        <w:ind w:left="420"/>
        <w:jc w:val="both"/>
        <w:rPr>
          <w:rFonts w:ascii="Arial" w:hAnsi="Arial" w:cs="Arial"/>
          <w:b/>
          <w:bCs/>
        </w:rPr>
      </w:pPr>
      <w:proofErr w:type="spellStart"/>
      <w:r w:rsidRPr="00FA3BDC">
        <w:rPr>
          <w:rFonts w:ascii="Arial" w:hAnsi="Arial" w:cs="Arial"/>
        </w:rPr>
        <w:t>TotalEnergies</w:t>
      </w:r>
      <w:proofErr w:type="spellEnd"/>
      <w:r w:rsidRPr="00FA3BDC">
        <w:rPr>
          <w:rFonts w:ascii="Arial" w:hAnsi="Arial" w:cs="Arial"/>
        </w:rPr>
        <w:t xml:space="preserve"> se situait à la fin 2022 au </w:t>
      </w:r>
      <w:r w:rsidRPr="00FA3BDC">
        <w:rPr>
          <w:rFonts w:ascii="Arial" w:hAnsi="Arial" w:cs="Arial"/>
          <w:b/>
          <w:bCs/>
        </w:rPr>
        <w:t>11ème rang mondial de l'industrie du raffinage et au 13ème rang mondial de la pétrochimie.</w:t>
      </w:r>
    </w:p>
    <w:p w14:paraId="020308A1" w14:textId="77777777" w:rsidR="00D15889" w:rsidRDefault="00D15889" w:rsidP="00D15889">
      <w:pPr>
        <w:pBdr>
          <w:top w:val="single" w:sz="4" w:space="1" w:color="auto"/>
          <w:left w:val="single" w:sz="4" w:space="4" w:color="auto"/>
          <w:bottom w:val="single" w:sz="4" w:space="1" w:color="auto"/>
          <w:right w:val="single" w:sz="4" w:space="4" w:color="auto"/>
        </w:pBdr>
        <w:spacing w:after="120" w:line="276" w:lineRule="auto"/>
        <w:ind w:left="420"/>
        <w:jc w:val="both"/>
        <w:rPr>
          <w:rFonts w:ascii="Arial" w:hAnsi="Arial" w:cs="Arial"/>
        </w:rPr>
      </w:pPr>
      <w:r w:rsidRPr="00FA3BDC">
        <w:rPr>
          <w:rFonts w:ascii="Arial" w:hAnsi="Arial" w:cs="Arial"/>
        </w:rPr>
        <w:t xml:space="preserve">A la différence de ses principaux concurrents, </w:t>
      </w:r>
      <w:proofErr w:type="spellStart"/>
      <w:r w:rsidRPr="00FA3BDC">
        <w:rPr>
          <w:rFonts w:ascii="Arial" w:hAnsi="Arial" w:cs="Arial"/>
          <w:b/>
          <w:bCs/>
        </w:rPr>
        <w:t>TotalEnergies</w:t>
      </w:r>
      <w:proofErr w:type="spellEnd"/>
      <w:r w:rsidRPr="00FA3BDC">
        <w:rPr>
          <w:rFonts w:ascii="Arial" w:hAnsi="Arial" w:cs="Arial"/>
          <w:b/>
          <w:bCs/>
        </w:rPr>
        <w:t xml:space="preserve"> est un acteur principalement européen dans ces métiers </w:t>
      </w:r>
      <w:r w:rsidRPr="00FA3BDC">
        <w:rPr>
          <w:rFonts w:ascii="Arial" w:hAnsi="Arial" w:cs="Arial"/>
        </w:rPr>
        <w:t>(2ème raffineur et 2ème pétrochimiste) et est donc plus exposé à des marchés matures, voire déclinants.</w:t>
      </w:r>
    </w:p>
    <w:p w14:paraId="496EB944" w14:textId="77777777" w:rsidR="00D15889" w:rsidRDefault="00D15889" w:rsidP="00D15889">
      <w:pPr>
        <w:pBdr>
          <w:top w:val="single" w:sz="4" w:space="1" w:color="auto"/>
          <w:left w:val="single" w:sz="4" w:space="4" w:color="auto"/>
          <w:bottom w:val="single" w:sz="4" w:space="1" w:color="auto"/>
          <w:right w:val="single" w:sz="4" w:space="4" w:color="auto"/>
        </w:pBdr>
        <w:spacing w:after="120" w:line="276" w:lineRule="auto"/>
        <w:ind w:left="420"/>
        <w:jc w:val="both"/>
        <w:rPr>
          <w:rFonts w:ascii="Arial" w:hAnsi="Arial" w:cs="Arial"/>
        </w:rPr>
      </w:pPr>
      <w:r w:rsidRPr="00FA3BDC">
        <w:rPr>
          <w:rFonts w:ascii="Arial" w:hAnsi="Arial" w:cs="Arial"/>
        </w:rPr>
        <w:t>La stratégie de la Branche RC vise deux objectifs :</w:t>
      </w:r>
    </w:p>
    <w:p w14:paraId="37C64910" w14:textId="77777777" w:rsidR="00D15889" w:rsidRDefault="00D15889" w:rsidP="00D15889">
      <w:pPr>
        <w:pBdr>
          <w:top w:val="single" w:sz="4" w:space="1" w:color="auto"/>
          <w:left w:val="single" w:sz="4" w:space="4" w:color="auto"/>
          <w:bottom w:val="single" w:sz="4" w:space="1" w:color="auto"/>
          <w:right w:val="single" w:sz="4" w:space="4" w:color="auto"/>
        </w:pBdr>
        <w:spacing w:after="120" w:line="276" w:lineRule="auto"/>
        <w:ind w:left="420"/>
        <w:jc w:val="both"/>
        <w:rPr>
          <w:rFonts w:ascii="Arial" w:hAnsi="Arial" w:cs="Arial"/>
        </w:rPr>
      </w:pPr>
      <w:r w:rsidRPr="00FA3BDC">
        <w:rPr>
          <w:rFonts w:ascii="Arial" w:hAnsi="Arial" w:cs="Arial"/>
        </w:rPr>
        <w:t xml:space="preserve">- </w:t>
      </w:r>
      <w:r w:rsidRPr="00FA3BDC">
        <w:rPr>
          <w:rFonts w:ascii="Arial" w:hAnsi="Arial" w:cs="Arial"/>
          <w:b/>
          <w:bCs/>
        </w:rPr>
        <w:t xml:space="preserve">accroître la diversification géographique du portefeuille d’activités </w:t>
      </w:r>
      <w:r w:rsidRPr="00FA3BDC">
        <w:rPr>
          <w:rFonts w:ascii="Arial" w:hAnsi="Arial" w:cs="Arial"/>
        </w:rPr>
        <w:t>vers l’Asie, le Moyen-Orient et les Etats-Unis pour bénéficier de marchés en croissance et de matières premières abondantes et bon marché.</w:t>
      </w:r>
    </w:p>
    <w:p w14:paraId="4CEDAFBF" w14:textId="77777777" w:rsidR="00D15889" w:rsidRDefault="00D15889" w:rsidP="00D15889">
      <w:pPr>
        <w:pBdr>
          <w:top w:val="single" w:sz="4" w:space="1" w:color="auto"/>
          <w:left w:val="single" w:sz="4" w:space="4" w:color="auto"/>
          <w:bottom w:val="single" w:sz="4" w:space="1" w:color="auto"/>
          <w:right w:val="single" w:sz="4" w:space="4" w:color="auto"/>
        </w:pBdr>
        <w:spacing w:after="120" w:line="276" w:lineRule="auto"/>
        <w:ind w:left="420"/>
        <w:jc w:val="both"/>
        <w:rPr>
          <w:rFonts w:ascii="Arial" w:hAnsi="Arial" w:cs="Arial"/>
        </w:rPr>
      </w:pPr>
      <w:r w:rsidRPr="00FA3BDC">
        <w:rPr>
          <w:rFonts w:ascii="Arial" w:hAnsi="Arial" w:cs="Arial"/>
        </w:rPr>
        <w:t xml:space="preserve">- </w:t>
      </w:r>
      <w:r w:rsidRPr="00FA3BDC">
        <w:rPr>
          <w:rFonts w:ascii="Arial" w:hAnsi="Arial" w:cs="Arial"/>
          <w:b/>
          <w:bCs/>
        </w:rPr>
        <w:t>développer l’offre de solutions bas-carbone</w:t>
      </w:r>
      <w:r w:rsidRPr="00FA3BDC">
        <w:rPr>
          <w:rFonts w:ascii="Arial" w:hAnsi="Arial" w:cs="Arial"/>
        </w:rPr>
        <w:t xml:space="preserve"> pour devenir un acteur majeur dans les biocarburants, </w:t>
      </w:r>
      <w:r w:rsidRPr="00FA3BDC">
        <w:rPr>
          <w:rFonts w:ascii="Arial" w:hAnsi="Arial" w:cs="Arial"/>
          <w:b/>
          <w:bCs/>
        </w:rPr>
        <w:t>notamment les biocarburants aériens durables SAF</w:t>
      </w:r>
      <w:r w:rsidRPr="00FA3BDC">
        <w:rPr>
          <w:rFonts w:ascii="Arial" w:hAnsi="Arial" w:cs="Arial"/>
        </w:rPr>
        <w:t xml:space="preserve"> (</w:t>
      </w:r>
      <w:proofErr w:type="spellStart"/>
      <w:r w:rsidRPr="00FA3BDC">
        <w:rPr>
          <w:rFonts w:ascii="Arial" w:hAnsi="Arial" w:cs="Arial"/>
        </w:rPr>
        <w:t>Sustainable</w:t>
      </w:r>
      <w:proofErr w:type="spellEnd"/>
      <w:r w:rsidRPr="00FA3BDC">
        <w:rPr>
          <w:rFonts w:ascii="Arial" w:hAnsi="Arial" w:cs="Arial"/>
        </w:rPr>
        <w:t xml:space="preserve"> Aviation Fuel,), </w:t>
      </w:r>
      <w:r w:rsidRPr="00FA3BDC">
        <w:rPr>
          <w:rFonts w:ascii="Arial" w:hAnsi="Arial" w:cs="Arial"/>
          <w:b/>
          <w:bCs/>
        </w:rPr>
        <w:t>les biopolymères et le recyclage des plastiques</w:t>
      </w:r>
      <w:r w:rsidRPr="00FA3BDC">
        <w:rPr>
          <w:rFonts w:ascii="Arial" w:hAnsi="Arial" w:cs="Arial"/>
        </w:rPr>
        <w:t xml:space="preserve"> et être pionnier dans les fuels synthétiques.</w:t>
      </w:r>
    </w:p>
    <w:p w14:paraId="557C106C" w14:textId="77777777" w:rsidR="00D15889" w:rsidRDefault="00D15889" w:rsidP="00D15889">
      <w:pPr>
        <w:pBdr>
          <w:top w:val="single" w:sz="4" w:space="1" w:color="auto"/>
          <w:left w:val="single" w:sz="4" w:space="4" w:color="auto"/>
          <w:bottom w:val="single" w:sz="4" w:space="1" w:color="auto"/>
          <w:right w:val="single" w:sz="4" w:space="4" w:color="auto"/>
        </w:pBdr>
        <w:spacing w:after="120" w:line="276" w:lineRule="auto"/>
        <w:ind w:left="420"/>
        <w:jc w:val="both"/>
        <w:rPr>
          <w:rFonts w:ascii="Arial" w:hAnsi="Arial" w:cs="Arial"/>
        </w:rPr>
      </w:pPr>
      <w:r w:rsidRPr="00FA3BDC">
        <w:rPr>
          <w:rFonts w:ascii="Arial" w:hAnsi="Arial" w:cs="Arial"/>
        </w:rPr>
        <w:lastRenderedPageBreak/>
        <w:t xml:space="preserve">Cette stratégie s’inscrit dans </w:t>
      </w:r>
      <w:r w:rsidRPr="00FA3BDC">
        <w:rPr>
          <w:rFonts w:ascii="Arial" w:hAnsi="Arial" w:cs="Arial"/>
          <w:b/>
          <w:bCs/>
        </w:rPr>
        <w:t>l'ambition Climat de la Compagnie d'atteindre la neutralité carbone à l’horizon 2050</w:t>
      </w:r>
      <w:r w:rsidRPr="00FA3BDC">
        <w:rPr>
          <w:rFonts w:ascii="Arial" w:hAnsi="Arial" w:cs="Arial"/>
        </w:rPr>
        <w:t>, ensemble avec la société, par la maitrise des émissions de CO2 de ses opérations (scope 1 et 2), par le développement de solutions bas-carbone notamment dans la biomasse (scope 3) et par l’adaptation de ses activités en Europe en phase avec l’objectif « zéro émission nette » fixé par l’Union Européenne.</w:t>
      </w:r>
    </w:p>
    <w:p w14:paraId="138ED781" w14:textId="77777777" w:rsidR="00D15889" w:rsidRPr="00FA3BDC" w:rsidRDefault="00D15889" w:rsidP="00D15889">
      <w:pPr>
        <w:pBdr>
          <w:top w:val="single" w:sz="4" w:space="1" w:color="auto"/>
          <w:left w:val="single" w:sz="4" w:space="4" w:color="auto"/>
          <w:bottom w:val="single" w:sz="4" w:space="1" w:color="auto"/>
          <w:right w:val="single" w:sz="4" w:space="4" w:color="auto"/>
        </w:pBdr>
        <w:spacing w:after="120" w:line="276" w:lineRule="auto"/>
        <w:ind w:left="420"/>
        <w:jc w:val="both"/>
        <w:rPr>
          <w:rFonts w:ascii="Arial" w:hAnsi="Arial" w:cs="Arial"/>
        </w:rPr>
      </w:pPr>
    </w:p>
    <w:p w14:paraId="69EE224A" w14:textId="77777777" w:rsidR="00D15889" w:rsidRPr="00410C25" w:rsidRDefault="00D15889" w:rsidP="00D15889">
      <w:pPr>
        <w:spacing w:after="120" w:line="276" w:lineRule="auto"/>
        <w:ind w:left="780"/>
        <w:jc w:val="both"/>
        <w:rPr>
          <w:rFonts w:ascii="Arial" w:hAnsi="Arial" w:cs="Arial"/>
          <w:bCs/>
        </w:rPr>
      </w:pPr>
    </w:p>
    <w:p w14:paraId="0E37C692" w14:textId="77777777" w:rsidR="00D15889" w:rsidRDefault="00D15889" w:rsidP="57A0AEF5">
      <w:pPr>
        <w:spacing w:after="322"/>
        <w:jc w:val="both"/>
        <w:rPr>
          <w:rFonts w:ascii="Aptos" w:eastAsia="Aptos" w:hAnsi="Aptos" w:cs="Aptos"/>
          <w:b/>
          <w:bCs/>
          <w:i/>
          <w:iCs/>
        </w:rPr>
      </w:pPr>
    </w:p>
    <w:p w14:paraId="2F54EE03" w14:textId="77777777" w:rsidR="00184127" w:rsidRDefault="00184127" w:rsidP="57A0AEF5">
      <w:pPr>
        <w:spacing w:after="322"/>
        <w:jc w:val="both"/>
        <w:rPr>
          <w:rFonts w:ascii="Aptos" w:eastAsia="Aptos" w:hAnsi="Aptos" w:cs="Aptos"/>
          <w:b/>
          <w:bCs/>
          <w:i/>
          <w:iCs/>
        </w:rPr>
      </w:pPr>
    </w:p>
    <w:p w14:paraId="565EC564" w14:textId="77777777" w:rsidR="00184127" w:rsidRDefault="00184127" w:rsidP="57A0AEF5">
      <w:pPr>
        <w:spacing w:after="322"/>
        <w:jc w:val="both"/>
        <w:rPr>
          <w:rFonts w:ascii="Aptos" w:eastAsia="Aptos" w:hAnsi="Aptos" w:cs="Aptos"/>
          <w:b/>
          <w:bCs/>
          <w:i/>
          <w:iCs/>
        </w:rPr>
      </w:pPr>
    </w:p>
    <w:p w14:paraId="5C9F0252" w14:textId="77777777" w:rsidR="00184127" w:rsidRDefault="00184127" w:rsidP="57A0AEF5">
      <w:pPr>
        <w:spacing w:after="322"/>
        <w:jc w:val="both"/>
        <w:rPr>
          <w:rFonts w:ascii="Aptos" w:eastAsia="Aptos" w:hAnsi="Aptos" w:cs="Aptos"/>
          <w:b/>
          <w:bCs/>
          <w:i/>
          <w:iCs/>
        </w:rPr>
      </w:pPr>
    </w:p>
    <w:p w14:paraId="4C775C61" w14:textId="77777777" w:rsidR="00184127" w:rsidRDefault="00184127" w:rsidP="57A0AEF5">
      <w:pPr>
        <w:spacing w:after="322"/>
        <w:jc w:val="both"/>
        <w:rPr>
          <w:rFonts w:ascii="Aptos" w:eastAsia="Aptos" w:hAnsi="Aptos" w:cs="Aptos"/>
          <w:b/>
          <w:bCs/>
          <w:i/>
          <w:iCs/>
        </w:rPr>
      </w:pPr>
    </w:p>
    <w:p w14:paraId="53C4E801" w14:textId="77777777" w:rsidR="00184127" w:rsidRDefault="00184127" w:rsidP="57A0AEF5">
      <w:pPr>
        <w:spacing w:after="322"/>
        <w:jc w:val="both"/>
        <w:rPr>
          <w:rFonts w:ascii="Aptos" w:eastAsia="Aptos" w:hAnsi="Aptos" w:cs="Aptos"/>
          <w:b/>
          <w:bCs/>
          <w:i/>
          <w:iCs/>
        </w:rPr>
      </w:pPr>
    </w:p>
    <w:p w14:paraId="187392CB" w14:textId="77777777" w:rsidR="00184127" w:rsidRDefault="00184127" w:rsidP="57A0AEF5">
      <w:pPr>
        <w:spacing w:after="322"/>
        <w:jc w:val="both"/>
        <w:rPr>
          <w:rFonts w:ascii="Aptos" w:eastAsia="Aptos" w:hAnsi="Aptos" w:cs="Aptos"/>
          <w:b/>
          <w:bCs/>
          <w:i/>
          <w:iCs/>
        </w:rPr>
      </w:pPr>
    </w:p>
    <w:p w14:paraId="52C1CE50" w14:textId="77777777" w:rsidR="00184127" w:rsidRDefault="00184127" w:rsidP="57A0AEF5">
      <w:pPr>
        <w:spacing w:after="322"/>
        <w:jc w:val="both"/>
        <w:rPr>
          <w:rFonts w:ascii="Aptos" w:eastAsia="Aptos" w:hAnsi="Aptos" w:cs="Aptos"/>
          <w:b/>
          <w:bCs/>
          <w:i/>
          <w:iCs/>
        </w:rPr>
      </w:pPr>
    </w:p>
    <w:p w14:paraId="62AD3D6F" w14:textId="77777777" w:rsidR="00184127" w:rsidRDefault="00184127" w:rsidP="57A0AEF5">
      <w:pPr>
        <w:spacing w:after="322"/>
        <w:jc w:val="both"/>
        <w:rPr>
          <w:rFonts w:ascii="Aptos" w:eastAsia="Aptos" w:hAnsi="Aptos" w:cs="Aptos"/>
          <w:b/>
          <w:bCs/>
          <w:i/>
          <w:iCs/>
        </w:rPr>
      </w:pPr>
    </w:p>
    <w:p w14:paraId="3CEAD821" w14:textId="77777777" w:rsidR="00184127" w:rsidRDefault="00184127" w:rsidP="57A0AEF5">
      <w:pPr>
        <w:spacing w:after="322"/>
        <w:jc w:val="both"/>
        <w:rPr>
          <w:rFonts w:ascii="Aptos" w:eastAsia="Aptos" w:hAnsi="Aptos" w:cs="Aptos"/>
          <w:b/>
          <w:bCs/>
          <w:i/>
          <w:iCs/>
        </w:rPr>
      </w:pPr>
    </w:p>
    <w:p w14:paraId="745B99C5" w14:textId="77777777" w:rsidR="00184127" w:rsidRDefault="00184127" w:rsidP="57A0AEF5">
      <w:pPr>
        <w:spacing w:after="322"/>
        <w:jc w:val="both"/>
        <w:rPr>
          <w:rFonts w:ascii="Aptos" w:eastAsia="Aptos" w:hAnsi="Aptos" w:cs="Aptos"/>
          <w:b/>
          <w:bCs/>
          <w:i/>
          <w:iCs/>
        </w:rPr>
      </w:pPr>
    </w:p>
    <w:p w14:paraId="690A6E0A" w14:textId="77777777" w:rsidR="00184127" w:rsidRDefault="00184127" w:rsidP="57A0AEF5">
      <w:pPr>
        <w:spacing w:after="322"/>
        <w:jc w:val="both"/>
        <w:rPr>
          <w:rFonts w:ascii="Aptos" w:eastAsia="Aptos" w:hAnsi="Aptos" w:cs="Aptos"/>
          <w:b/>
          <w:bCs/>
          <w:i/>
          <w:iCs/>
        </w:rPr>
      </w:pPr>
    </w:p>
    <w:p w14:paraId="52D9F99F" w14:textId="77777777" w:rsidR="00184127" w:rsidRDefault="00184127" w:rsidP="57A0AEF5">
      <w:pPr>
        <w:spacing w:after="322"/>
        <w:jc w:val="both"/>
        <w:rPr>
          <w:rFonts w:ascii="Aptos" w:eastAsia="Aptos" w:hAnsi="Aptos" w:cs="Aptos"/>
          <w:b/>
          <w:bCs/>
          <w:i/>
          <w:iCs/>
        </w:rPr>
      </w:pPr>
    </w:p>
    <w:p w14:paraId="2D995787" w14:textId="77777777" w:rsidR="00184127" w:rsidRDefault="00184127" w:rsidP="57A0AEF5">
      <w:pPr>
        <w:spacing w:after="322"/>
        <w:jc w:val="both"/>
        <w:rPr>
          <w:rFonts w:ascii="Aptos" w:eastAsia="Aptos" w:hAnsi="Aptos" w:cs="Aptos"/>
          <w:b/>
          <w:bCs/>
          <w:i/>
          <w:iCs/>
        </w:rPr>
      </w:pPr>
    </w:p>
    <w:p w14:paraId="7FDD0CF2" w14:textId="638BA122" w:rsidR="00184127" w:rsidRDefault="00184127" w:rsidP="00184127">
      <w:pPr>
        <w:spacing w:after="322"/>
        <w:jc w:val="both"/>
        <w:rPr>
          <w:rFonts w:ascii="Aptos" w:eastAsia="Aptos" w:hAnsi="Aptos" w:cs="Aptos"/>
          <w:b/>
          <w:bCs/>
          <w:i/>
          <w:iCs/>
          <w:u w:val="single"/>
        </w:rPr>
      </w:pPr>
      <w:r>
        <w:rPr>
          <w:rFonts w:ascii="Aptos" w:eastAsia="Aptos" w:hAnsi="Aptos" w:cs="Aptos"/>
          <w:b/>
          <w:bCs/>
          <w:i/>
          <w:iCs/>
          <w:u w:val="single"/>
        </w:rPr>
        <w:lastRenderedPageBreak/>
        <w:t>2</w:t>
      </w:r>
      <w:r w:rsidRPr="00184127">
        <w:rPr>
          <w:rFonts w:ascii="Aptos" w:eastAsia="Aptos" w:hAnsi="Aptos" w:cs="Aptos"/>
          <w:b/>
          <w:bCs/>
          <w:i/>
          <w:iCs/>
          <w:u w:val="single"/>
          <w:vertAlign w:val="superscript"/>
        </w:rPr>
        <w:t>ème</w:t>
      </w:r>
      <w:r>
        <w:rPr>
          <w:rFonts w:ascii="Aptos" w:eastAsia="Aptos" w:hAnsi="Aptos" w:cs="Aptos"/>
          <w:b/>
          <w:bCs/>
          <w:i/>
          <w:iCs/>
          <w:u w:val="single"/>
        </w:rPr>
        <w:t xml:space="preserve"> n</w:t>
      </w:r>
      <w:r w:rsidRPr="00770986">
        <w:rPr>
          <w:rFonts w:ascii="Aptos" w:eastAsia="Aptos" w:hAnsi="Aptos" w:cs="Aptos"/>
          <w:b/>
          <w:bCs/>
          <w:i/>
          <w:iCs/>
          <w:u w:val="single"/>
        </w:rPr>
        <w:t>ote en pièce-jointe de ce mail du 21 mai 2024, intitulée «</w:t>
      </w:r>
      <w:r w:rsidR="00861AD9">
        <w:rPr>
          <w:rFonts w:ascii="Aptos" w:eastAsia="Aptos" w:hAnsi="Aptos" w:cs="Aptos"/>
          <w:b/>
          <w:bCs/>
          <w:i/>
          <w:iCs/>
          <w:u w:val="single"/>
        </w:rPr>
        <w:t xml:space="preserve">Note TT </w:t>
      </w:r>
      <w:proofErr w:type="spellStart"/>
      <w:r w:rsidR="00861AD9">
        <w:rPr>
          <w:rFonts w:ascii="Aptos" w:eastAsia="Aptos" w:hAnsi="Aptos" w:cs="Aptos"/>
          <w:b/>
          <w:bCs/>
          <w:i/>
          <w:iCs/>
          <w:u w:val="single"/>
        </w:rPr>
        <w:t>InvestissementsRENdocx</w:t>
      </w:r>
      <w:proofErr w:type="spellEnd"/>
      <w:r w:rsidRPr="00770986">
        <w:rPr>
          <w:rFonts w:ascii="Aptos" w:eastAsia="Aptos" w:hAnsi="Aptos" w:cs="Aptos"/>
          <w:b/>
          <w:bCs/>
          <w:i/>
          <w:iCs/>
          <w:u w:val="single"/>
        </w:rPr>
        <w:t> », contenant des allégations considérées comme trompeuse dans le jugement du 23 octobre 2025 du Tribunal judiciaire de Paris</w:t>
      </w:r>
    </w:p>
    <w:p w14:paraId="608BC6E6" w14:textId="77777777" w:rsidR="00AC7E34" w:rsidRDefault="00AC7E34" w:rsidP="00AC7E34">
      <w:pPr>
        <w:pBdr>
          <w:bottom w:val="single" w:sz="4" w:space="1" w:color="auto"/>
        </w:pBdr>
        <w:spacing w:after="322"/>
        <w:jc w:val="both"/>
        <w:rPr>
          <w:rFonts w:ascii="Aptos" w:eastAsia="Aptos" w:hAnsi="Aptos" w:cs="Aptos"/>
          <w:b/>
          <w:bCs/>
          <w:i/>
          <w:iCs/>
          <w:u w:val="single"/>
        </w:rPr>
      </w:pPr>
    </w:p>
    <w:p w14:paraId="75AB80B5" w14:textId="77777777" w:rsidR="00AC7E34" w:rsidRPr="008C4715" w:rsidRDefault="00AC7E34" w:rsidP="00AC7E34">
      <w:pPr>
        <w:rPr>
          <w:rFonts w:ascii="Roboto" w:eastAsia="Times New Roman" w:hAnsi="Roboto" w:cs="Arial"/>
          <w:b/>
          <w:bCs/>
          <w:color w:val="0070C0"/>
        </w:rPr>
      </w:pPr>
      <w:r w:rsidRPr="008C4715">
        <w:rPr>
          <w:rFonts w:ascii="Roboto" w:eastAsia="Times New Roman" w:hAnsi="Roboto" w:cs="Arial"/>
          <w:b/>
          <w:bCs/>
          <w:color w:val="0070C0"/>
        </w:rPr>
        <w:t>21/05/24</w:t>
      </w:r>
    </w:p>
    <w:p w14:paraId="4F758F52" w14:textId="77777777" w:rsidR="00AC7E34" w:rsidRDefault="00AC7E34" w:rsidP="00AC7E34">
      <w:pPr>
        <w:jc w:val="center"/>
        <w:rPr>
          <w:rFonts w:ascii="Roboto" w:eastAsia="Times New Roman" w:hAnsi="Roboto" w:cs="Arial"/>
          <w:b/>
          <w:bCs/>
          <w:color w:val="0070C0"/>
          <w:sz w:val="28"/>
          <w:szCs w:val="28"/>
        </w:rPr>
      </w:pPr>
      <w:r w:rsidRPr="00BE4F8C">
        <w:rPr>
          <w:rFonts w:ascii="Roboto" w:eastAsia="Times New Roman" w:hAnsi="Roboto" w:cs="Arial"/>
          <w:b/>
          <w:bCs/>
          <w:color w:val="0070C0"/>
          <w:sz w:val="28"/>
          <w:szCs w:val="28"/>
        </w:rPr>
        <w:t xml:space="preserve">Note </w:t>
      </w:r>
      <w:proofErr w:type="spellStart"/>
      <w:r>
        <w:rPr>
          <w:rFonts w:ascii="Roboto" w:eastAsia="Times New Roman" w:hAnsi="Roboto" w:cs="Arial"/>
          <w:b/>
          <w:bCs/>
          <w:color w:val="0070C0"/>
          <w:sz w:val="28"/>
          <w:szCs w:val="28"/>
        </w:rPr>
        <w:t>TotalEnergies</w:t>
      </w:r>
      <w:proofErr w:type="spellEnd"/>
      <w:r>
        <w:rPr>
          <w:rFonts w:ascii="Roboto" w:eastAsia="Times New Roman" w:hAnsi="Roboto" w:cs="Arial"/>
          <w:b/>
          <w:bCs/>
          <w:color w:val="0070C0"/>
          <w:sz w:val="28"/>
          <w:szCs w:val="28"/>
        </w:rPr>
        <w:t>/Renouvelables/Investissements</w:t>
      </w:r>
    </w:p>
    <w:p w14:paraId="6C082875" w14:textId="77777777" w:rsidR="00AC7E34" w:rsidRPr="000E052C" w:rsidRDefault="00AC7E34" w:rsidP="00AC7E34">
      <w:pPr>
        <w:jc w:val="both"/>
        <w:rPr>
          <w:rFonts w:ascii="Roboto" w:eastAsia="Times New Roman" w:hAnsi="Roboto" w:cs="Arial"/>
        </w:rPr>
      </w:pPr>
    </w:p>
    <w:p w14:paraId="10051162" w14:textId="77777777" w:rsidR="00AC7E34" w:rsidRDefault="00AC7E34" w:rsidP="00AC7E34">
      <w:pPr>
        <w:jc w:val="both"/>
        <w:rPr>
          <w:rFonts w:ascii="Roboto" w:eastAsia="Times New Roman" w:hAnsi="Roboto" w:cs="Arial"/>
        </w:rPr>
      </w:pPr>
      <w:r w:rsidRPr="00BE4F8C">
        <w:rPr>
          <w:rFonts w:ascii="Roboto" w:eastAsia="Times New Roman" w:hAnsi="Roboto" w:cs="Arial"/>
        </w:rPr>
        <w:t xml:space="preserve">Tout le défi de la transition énergétique consiste à passer d’un système mondial qui est aujourd’hui à 81 % alimenté par des énergies fossiles (~30 % charbon, ~30 % de pétrole, ~20 % gaz) à un système excluant </w:t>
      </w:r>
      <w:r>
        <w:rPr>
          <w:rFonts w:ascii="Roboto" w:eastAsia="Times New Roman" w:hAnsi="Roboto" w:cs="Arial"/>
        </w:rPr>
        <w:t xml:space="preserve">progressivement </w:t>
      </w:r>
      <w:r w:rsidRPr="00BE4F8C">
        <w:rPr>
          <w:rFonts w:ascii="Roboto" w:eastAsia="Times New Roman" w:hAnsi="Roboto" w:cs="Arial"/>
        </w:rPr>
        <w:t>ces énergies fossiles, et cela à l’échelle de la planète, pas seulement d’un pays.</w:t>
      </w:r>
    </w:p>
    <w:p w14:paraId="2D78A043" w14:textId="77777777" w:rsidR="00AC7E34" w:rsidRDefault="00AC7E34" w:rsidP="00AC7E34">
      <w:pPr>
        <w:jc w:val="both"/>
        <w:rPr>
          <w:rFonts w:ascii="Roboto" w:eastAsia="Times New Roman" w:hAnsi="Roboto" w:cs="Arial"/>
        </w:rPr>
      </w:pPr>
      <w:r w:rsidRPr="000E052C">
        <w:rPr>
          <w:rFonts w:ascii="Roboto" w:eastAsia="Times New Roman" w:hAnsi="Roboto" w:cs="Arial"/>
        </w:rPr>
        <w:t xml:space="preserve">La stratégie de transition de </w:t>
      </w:r>
      <w:proofErr w:type="spellStart"/>
      <w:r w:rsidRPr="000E052C">
        <w:rPr>
          <w:rFonts w:ascii="Roboto" w:eastAsia="Times New Roman" w:hAnsi="Roboto" w:cs="Arial"/>
        </w:rPr>
        <w:t>TotalEnergies</w:t>
      </w:r>
      <w:proofErr w:type="spellEnd"/>
      <w:r w:rsidRPr="000E052C">
        <w:rPr>
          <w:rFonts w:ascii="Roboto" w:eastAsia="Times New Roman" w:hAnsi="Roboto" w:cs="Arial"/>
        </w:rPr>
        <w:t xml:space="preserve"> repose sur deux piliers, la production responsable et la vente de pétrole et de gaz, et l’électricité, notamment renouvelable, elle est la major qui investit le plus dans le système énergétique de demain. </w:t>
      </w:r>
    </w:p>
    <w:p w14:paraId="07A90502" w14:textId="77777777" w:rsidR="00AC7E34" w:rsidRDefault="00AC7E34" w:rsidP="00AC7E34">
      <w:pPr>
        <w:jc w:val="both"/>
        <w:rPr>
          <w:rFonts w:ascii="Roboto" w:eastAsia="Times New Roman" w:hAnsi="Roboto" w:cs="Arial"/>
        </w:rPr>
      </w:pPr>
      <w:proofErr w:type="spellStart"/>
      <w:r>
        <w:rPr>
          <w:rFonts w:ascii="Roboto" w:eastAsia="Times New Roman" w:hAnsi="Roboto" w:cs="Arial"/>
        </w:rPr>
        <w:t>TotalEnergies</w:t>
      </w:r>
      <w:proofErr w:type="spellEnd"/>
      <w:r>
        <w:rPr>
          <w:rFonts w:ascii="Roboto" w:eastAsia="Times New Roman" w:hAnsi="Roboto" w:cs="Arial"/>
        </w:rPr>
        <w:t xml:space="preserve"> réaffirme son ambition d’être un acteur majeur de la transition énergétique, d’être ainsi une Compagnie Net Zéro en 2050, ensemble avec la société. </w:t>
      </w:r>
    </w:p>
    <w:p w14:paraId="7A31C8F5" w14:textId="77777777" w:rsidR="00AC7E34" w:rsidRDefault="00AC7E34" w:rsidP="00AC7E34">
      <w:pPr>
        <w:jc w:val="both"/>
        <w:rPr>
          <w:rFonts w:ascii="Roboto" w:eastAsia="Times New Roman" w:hAnsi="Roboto" w:cs="Arial"/>
        </w:rPr>
      </w:pPr>
    </w:p>
    <w:p w14:paraId="62F757C9" w14:textId="77777777" w:rsidR="00AC7E34" w:rsidRDefault="00AC7E34" w:rsidP="00AC7E34">
      <w:pPr>
        <w:jc w:val="both"/>
        <w:rPr>
          <w:rFonts w:ascii="Roboto" w:eastAsia="Times New Roman" w:hAnsi="Roboto" w:cs="Arial"/>
        </w:rPr>
      </w:pPr>
      <w:r w:rsidRPr="00BE4F8C">
        <w:rPr>
          <w:rFonts w:ascii="Roboto" w:hAnsi="Roboto"/>
          <w:noProof/>
          <w14:ligatures w14:val="standardContextual"/>
        </w:rPr>
        <w:lastRenderedPageBreak/>
        <w:drawing>
          <wp:inline distT="0" distB="0" distL="0" distR="0" wp14:anchorId="1615593E" wp14:editId="4C0D5ACB">
            <wp:extent cx="6258560" cy="4448111"/>
            <wp:effectExtent l="0" t="0" r="0" b="0"/>
            <wp:docPr id="199898319" name="Image 1" descr="Une image contenant texte, capture d’écran, Site web,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8319" name="Image 1" descr="Une image contenant texte, capture d’écran, Site web, Page web&#10;&#10;Description générée automatiquement"/>
                    <pic:cNvPicPr/>
                  </pic:nvPicPr>
                  <pic:blipFill>
                    <a:blip r:embed="rId14"/>
                    <a:stretch>
                      <a:fillRect/>
                    </a:stretch>
                  </pic:blipFill>
                  <pic:spPr>
                    <a:xfrm>
                      <a:off x="0" y="0"/>
                      <a:ext cx="6287510" cy="4468687"/>
                    </a:xfrm>
                    <a:prstGeom prst="rect">
                      <a:avLst/>
                    </a:prstGeom>
                  </pic:spPr>
                </pic:pic>
              </a:graphicData>
            </a:graphic>
          </wp:inline>
        </w:drawing>
      </w:r>
    </w:p>
    <w:p w14:paraId="45EFB2BB" w14:textId="77777777" w:rsidR="00AC7E34" w:rsidRPr="000E052C" w:rsidRDefault="00AC7E34" w:rsidP="00AC7E34">
      <w:pPr>
        <w:jc w:val="both"/>
        <w:rPr>
          <w:rFonts w:ascii="Roboto" w:eastAsia="Times New Roman" w:hAnsi="Roboto" w:cs="Arial"/>
        </w:rPr>
      </w:pPr>
    </w:p>
    <w:p w14:paraId="17A87B50" w14:textId="77777777" w:rsidR="00AC7E34" w:rsidRPr="000E052C" w:rsidRDefault="00AC7E34" w:rsidP="00AC7E34">
      <w:pPr>
        <w:jc w:val="both"/>
        <w:rPr>
          <w:rFonts w:ascii="Roboto" w:hAnsi="Roboto"/>
          <w:b/>
          <w:bCs/>
          <w:color w:val="0070C0"/>
        </w:rPr>
      </w:pPr>
      <w:r w:rsidRPr="000E052C">
        <w:rPr>
          <w:rFonts w:ascii="Roboto" w:hAnsi="Roboto"/>
          <w:b/>
          <w:bCs/>
          <w:color w:val="0070C0"/>
        </w:rPr>
        <w:t xml:space="preserve">Synthèse des investissements de </w:t>
      </w:r>
      <w:proofErr w:type="spellStart"/>
      <w:r w:rsidRPr="000E052C">
        <w:rPr>
          <w:rFonts w:ascii="Roboto" w:hAnsi="Roboto"/>
          <w:b/>
          <w:bCs/>
          <w:color w:val="0070C0"/>
        </w:rPr>
        <w:t>TotalEnergies</w:t>
      </w:r>
      <w:proofErr w:type="spellEnd"/>
      <w:r w:rsidRPr="000E052C">
        <w:rPr>
          <w:rFonts w:ascii="Roboto" w:hAnsi="Roboto"/>
          <w:b/>
          <w:bCs/>
          <w:color w:val="0070C0"/>
        </w:rPr>
        <w:t xml:space="preserve"> depuis 2017 par type d’énergie</w:t>
      </w:r>
    </w:p>
    <w:p w14:paraId="358F7B90" w14:textId="77777777" w:rsidR="00AC7E34" w:rsidRPr="00BE4F8C" w:rsidRDefault="00AC7E34" w:rsidP="00AC7E34">
      <w:pPr>
        <w:jc w:val="both"/>
        <w:rPr>
          <w:rFonts w:ascii="Roboto" w:hAnsi="Roboto"/>
          <w:b/>
          <w:bCs/>
        </w:rPr>
      </w:pPr>
      <w:r w:rsidRPr="00BE4F8C">
        <w:rPr>
          <w:rFonts w:ascii="Roboto" w:hAnsi="Roboto"/>
        </w:rPr>
        <w:t>Les montants d’investissements nets sont publiés au chapitre 5.13 du DEU (</w:t>
      </w:r>
      <w:proofErr w:type="spellStart"/>
      <w:r w:rsidRPr="00BE4F8C">
        <w:rPr>
          <w:rFonts w:ascii="Roboto" w:hAnsi="Roboto"/>
        </w:rPr>
        <w:t>TotalEnergies</w:t>
      </w:r>
      <w:proofErr w:type="spellEnd"/>
      <w:r w:rsidRPr="00BE4F8C">
        <w:rPr>
          <w:rFonts w:ascii="Roboto" w:hAnsi="Roboto"/>
        </w:rPr>
        <w:t xml:space="preserve">) en arrondi à l'unité de milliards de dollars (G$). </w:t>
      </w:r>
    </w:p>
    <w:p w14:paraId="5C84126F" w14:textId="77777777" w:rsidR="00AC7E34" w:rsidRPr="00BE4F8C" w:rsidRDefault="00AC7E34" w:rsidP="00AC7E34">
      <w:pPr>
        <w:jc w:val="both"/>
        <w:rPr>
          <w:rFonts w:ascii="Roboto" w:hAnsi="Roboto"/>
        </w:rPr>
      </w:pPr>
      <w:r w:rsidRPr="00BE4F8C">
        <w:rPr>
          <w:rFonts w:ascii="Roboto" w:hAnsi="Roboto"/>
          <w:noProof/>
        </w:rPr>
        <w:drawing>
          <wp:inline distT="0" distB="0" distL="0" distR="0" wp14:anchorId="3760EB39" wp14:editId="1C2CBC81">
            <wp:extent cx="6722110" cy="1276350"/>
            <wp:effectExtent l="0" t="0" r="2540" b="0"/>
            <wp:docPr id="627384451" name="Image 627384451" descr="Une image contenant capture d’écran, text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84451" name="Image 627384451" descr="Une image contenant capture d’écran, texte, Police&#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6726323" cy="1277150"/>
                    </a:xfrm>
                    <a:prstGeom prst="rect">
                      <a:avLst/>
                    </a:prstGeom>
                  </pic:spPr>
                </pic:pic>
              </a:graphicData>
            </a:graphic>
          </wp:inline>
        </w:drawing>
      </w:r>
    </w:p>
    <w:p w14:paraId="51C42555" w14:textId="77777777" w:rsidR="00AC7E34" w:rsidRPr="00BE4F8C" w:rsidRDefault="00AC7E34" w:rsidP="00AC7E34">
      <w:pPr>
        <w:jc w:val="both"/>
        <w:rPr>
          <w:rFonts w:ascii="Roboto" w:hAnsi="Roboto"/>
        </w:rPr>
      </w:pPr>
    </w:p>
    <w:p w14:paraId="6CD91521" w14:textId="77777777" w:rsidR="00AC7E34" w:rsidRPr="000E052C" w:rsidRDefault="00AC7E34" w:rsidP="00AC7E34">
      <w:pPr>
        <w:jc w:val="both"/>
        <w:rPr>
          <w:rFonts w:ascii="Roboto" w:hAnsi="Roboto"/>
          <w:sz w:val="20"/>
          <w:szCs w:val="20"/>
        </w:rPr>
      </w:pPr>
      <w:r w:rsidRPr="000E052C">
        <w:rPr>
          <w:rFonts w:ascii="Roboto" w:hAnsi="Roboto"/>
          <w:sz w:val="20"/>
          <w:szCs w:val="20"/>
        </w:rPr>
        <w:t>* Investissements liés à nos activités de génération, stockage, négoce d’électricité et de distribution B2B B2C de gaz-électricité.</w:t>
      </w:r>
    </w:p>
    <w:p w14:paraId="5F0C785D" w14:textId="77777777" w:rsidR="00AC7E34" w:rsidRDefault="00AC7E34" w:rsidP="00AC7E34">
      <w:pPr>
        <w:jc w:val="both"/>
        <w:rPr>
          <w:rFonts w:ascii="Roboto" w:hAnsi="Roboto"/>
          <w:sz w:val="20"/>
          <w:szCs w:val="20"/>
        </w:rPr>
      </w:pPr>
      <w:r w:rsidRPr="000E052C">
        <w:rPr>
          <w:rFonts w:ascii="Roboto" w:hAnsi="Roboto"/>
          <w:sz w:val="20"/>
          <w:szCs w:val="20"/>
        </w:rPr>
        <w:lastRenderedPageBreak/>
        <w:t>** Investissements dans les molécules bas carbone (biocarburants, biogaz, recyclage du plastique, biopolymères, carburants synthétiques et hydrogène) ainsi que les investissements dans la réduction de l’empreinte carbone de la Compagnie.</w:t>
      </w:r>
    </w:p>
    <w:p w14:paraId="7C727ED8" w14:textId="77777777" w:rsidR="00AC7E34" w:rsidRPr="000E052C" w:rsidRDefault="00AC7E34" w:rsidP="00AC7E34">
      <w:pPr>
        <w:jc w:val="both"/>
        <w:rPr>
          <w:rFonts w:ascii="Roboto" w:hAnsi="Roboto"/>
          <w:sz w:val="20"/>
          <w:szCs w:val="20"/>
        </w:rPr>
      </w:pPr>
    </w:p>
    <w:p w14:paraId="4F79165C" w14:textId="77777777" w:rsidR="00AC7E34" w:rsidRDefault="00AC7E34" w:rsidP="00AC7E34">
      <w:pPr>
        <w:jc w:val="both"/>
        <w:rPr>
          <w:rFonts w:ascii="Roboto" w:hAnsi="Roboto"/>
          <w:b/>
          <w:bCs/>
          <w:color w:val="0070C0"/>
        </w:rPr>
      </w:pPr>
      <w:r w:rsidRPr="00FE369B">
        <w:rPr>
          <w:rFonts w:ascii="Roboto" w:hAnsi="Roboto"/>
          <w:b/>
          <w:bCs/>
          <w:color w:val="0070C0"/>
          <w:highlight w:val="yellow"/>
        </w:rPr>
        <w:t xml:space="preserve">Investissements de </w:t>
      </w:r>
      <w:proofErr w:type="spellStart"/>
      <w:r w:rsidRPr="00FE369B">
        <w:rPr>
          <w:rFonts w:ascii="Roboto" w:hAnsi="Roboto"/>
          <w:b/>
          <w:bCs/>
          <w:color w:val="0070C0"/>
          <w:highlight w:val="yellow"/>
        </w:rPr>
        <w:t>TotalEnergies</w:t>
      </w:r>
      <w:proofErr w:type="spellEnd"/>
      <w:r w:rsidRPr="00FE369B">
        <w:rPr>
          <w:rFonts w:ascii="Roboto" w:hAnsi="Roboto"/>
          <w:b/>
          <w:bCs/>
          <w:color w:val="0070C0"/>
          <w:highlight w:val="yellow"/>
        </w:rPr>
        <w:t xml:space="preserve"> dans les Renouvelables</w:t>
      </w:r>
      <w:r w:rsidRPr="000E052C">
        <w:rPr>
          <w:rFonts w:ascii="Roboto" w:hAnsi="Roboto"/>
          <w:b/>
          <w:bCs/>
          <w:color w:val="0070C0"/>
        </w:rPr>
        <w:t xml:space="preserve"> </w:t>
      </w:r>
    </w:p>
    <w:p w14:paraId="735BA4DB" w14:textId="77777777" w:rsidR="00AC7E34" w:rsidRPr="00BE4F8C" w:rsidRDefault="00AC7E34" w:rsidP="00AC7E34">
      <w:pPr>
        <w:jc w:val="both"/>
        <w:rPr>
          <w:rFonts w:ascii="Roboto" w:hAnsi="Roboto"/>
        </w:rPr>
      </w:pPr>
      <w:r w:rsidRPr="00FE369B">
        <w:rPr>
          <w:rFonts w:ascii="Roboto" w:hAnsi="Roboto"/>
          <w:b/>
          <w:bCs/>
          <w:highlight w:val="yellow"/>
        </w:rPr>
        <w:t>En France,</w:t>
      </w:r>
      <w:r w:rsidRPr="00BE4F8C">
        <w:rPr>
          <w:rFonts w:ascii="Roboto" w:hAnsi="Roboto"/>
        </w:rPr>
        <w:t xml:space="preserve"> les investissements bruts (organiques + acquisitions) dédiés aux REN/Elec/Nouvelles molécules/Décarbonation (CFR/Efficacité énergétique) de </w:t>
      </w:r>
      <w:proofErr w:type="spellStart"/>
      <w:r w:rsidRPr="00BE4F8C">
        <w:rPr>
          <w:rFonts w:ascii="Roboto" w:hAnsi="Roboto"/>
        </w:rPr>
        <w:t>TotalEnergies</w:t>
      </w:r>
      <w:proofErr w:type="spellEnd"/>
      <w:r w:rsidRPr="00BE4F8C">
        <w:rPr>
          <w:rFonts w:ascii="Roboto" w:hAnsi="Roboto"/>
        </w:rPr>
        <w:t xml:space="preserve"> se sont élevées à 1 818 M $ en 2023, et se monteront </w:t>
      </w:r>
      <w:r w:rsidRPr="00FE369B">
        <w:rPr>
          <w:rFonts w:ascii="Roboto" w:hAnsi="Roboto"/>
          <w:highlight w:val="yellow"/>
        </w:rPr>
        <w:t xml:space="preserve">à </w:t>
      </w:r>
      <w:r w:rsidRPr="00FE369B">
        <w:rPr>
          <w:rFonts w:ascii="Roboto" w:hAnsi="Roboto"/>
          <w:b/>
          <w:bCs/>
          <w:highlight w:val="yellow"/>
        </w:rPr>
        <w:t>2 009 M $ en 2024</w:t>
      </w:r>
      <w:r w:rsidRPr="00BE4F8C">
        <w:rPr>
          <w:rFonts w:ascii="Roboto" w:hAnsi="Roboto"/>
        </w:rPr>
        <w:t xml:space="preserve">. Cela représente </w:t>
      </w:r>
      <w:r w:rsidRPr="00ED3E98">
        <w:rPr>
          <w:rFonts w:ascii="Roboto" w:hAnsi="Roboto"/>
          <w:b/>
          <w:bCs/>
        </w:rPr>
        <w:t>60% des Capex</w:t>
      </w:r>
      <w:r w:rsidRPr="00BE4F8C">
        <w:rPr>
          <w:rFonts w:ascii="Roboto" w:hAnsi="Roboto"/>
        </w:rPr>
        <w:t xml:space="preserve"> France de la Compagnie. </w:t>
      </w:r>
    </w:p>
    <w:p w14:paraId="1DD052CE" w14:textId="77777777" w:rsidR="00AC7E34" w:rsidRPr="00BE4F8C" w:rsidRDefault="00AC7E34" w:rsidP="00AC7E34">
      <w:pPr>
        <w:jc w:val="both"/>
        <w:rPr>
          <w:rFonts w:ascii="Roboto" w:hAnsi="Roboto"/>
        </w:rPr>
      </w:pPr>
      <w:proofErr w:type="spellStart"/>
      <w:r w:rsidRPr="00BE4F8C">
        <w:rPr>
          <w:rFonts w:ascii="Roboto" w:hAnsi="Roboto"/>
        </w:rPr>
        <w:t>TotalEnergies</w:t>
      </w:r>
      <w:proofErr w:type="spellEnd"/>
      <w:r w:rsidRPr="00BE4F8C">
        <w:rPr>
          <w:rFonts w:ascii="Roboto" w:hAnsi="Roboto"/>
        </w:rPr>
        <w:t xml:space="preserve"> a investi </w:t>
      </w:r>
      <w:r w:rsidRPr="00ED3E98">
        <w:rPr>
          <w:rFonts w:ascii="Roboto" w:hAnsi="Roboto"/>
          <w:b/>
          <w:bCs/>
        </w:rPr>
        <w:t>4 milliards de dollars</w:t>
      </w:r>
      <w:r w:rsidRPr="00BE4F8C">
        <w:rPr>
          <w:rFonts w:ascii="Roboto" w:hAnsi="Roboto"/>
        </w:rPr>
        <w:t xml:space="preserve"> dans les énergies renouvelables </w:t>
      </w:r>
      <w:r w:rsidRPr="00ED3E98">
        <w:rPr>
          <w:rFonts w:ascii="Roboto" w:hAnsi="Roboto"/>
          <w:b/>
          <w:bCs/>
        </w:rPr>
        <w:t>en 2022</w:t>
      </w:r>
      <w:r w:rsidRPr="00BE4F8C">
        <w:rPr>
          <w:rFonts w:ascii="Roboto" w:hAnsi="Roboto"/>
        </w:rPr>
        <w:t xml:space="preserve"> ce qui représente 24,5% de ses investissements en 2022. </w:t>
      </w:r>
      <w:r w:rsidRPr="00FC4425">
        <w:rPr>
          <w:rFonts w:ascii="Roboto" w:hAnsi="Roboto"/>
          <w:highlight w:val="yellow"/>
        </w:rPr>
        <w:t xml:space="preserve">En </w:t>
      </w:r>
      <w:r w:rsidRPr="00FC4425">
        <w:rPr>
          <w:rFonts w:ascii="Roboto" w:hAnsi="Roboto"/>
          <w:b/>
          <w:bCs/>
          <w:highlight w:val="yellow"/>
        </w:rPr>
        <w:t>2023</w:t>
      </w:r>
      <w:r w:rsidRPr="00FC4425">
        <w:rPr>
          <w:rFonts w:ascii="Roboto" w:hAnsi="Roboto"/>
          <w:highlight w:val="yellow"/>
        </w:rPr>
        <w:t xml:space="preserve">, les investissements de </w:t>
      </w:r>
      <w:proofErr w:type="spellStart"/>
      <w:r w:rsidRPr="00FC4425">
        <w:rPr>
          <w:rFonts w:ascii="Roboto" w:hAnsi="Roboto"/>
          <w:highlight w:val="yellow"/>
        </w:rPr>
        <w:t>TotalEnergies</w:t>
      </w:r>
      <w:proofErr w:type="spellEnd"/>
      <w:r w:rsidRPr="00FC4425">
        <w:rPr>
          <w:rFonts w:ascii="Roboto" w:hAnsi="Roboto"/>
          <w:highlight w:val="yellow"/>
        </w:rPr>
        <w:t xml:space="preserve"> dans les énergies bas carbone se sont montés à </w:t>
      </w:r>
      <w:r w:rsidRPr="00FC4425">
        <w:rPr>
          <w:rFonts w:ascii="Roboto" w:hAnsi="Roboto"/>
          <w:b/>
          <w:bCs/>
          <w:highlight w:val="yellow"/>
        </w:rPr>
        <w:t>5 milliards de dollars</w:t>
      </w:r>
      <w:r w:rsidRPr="00BE4F8C">
        <w:rPr>
          <w:rFonts w:ascii="Roboto" w:hAnsi="Roboto"/>
        </w:rPr>
        <w:t xml:space="preserve"> (sur 16,8 milliards en tout). </w:t>
      </w:r>
    </w:p>
    <w:p w14:paraId="5C057C61" w14:textId="77777777" w:rsidR="00AC7E34" w:rsidRDefault="00AC7E34" w:rsidP="00AC7E34">
      <w:pPr>
        <w:jc w:val="both"/>
        <w:rPr>
          <w:rFonts w:ascii="Roboto" w:hAnsi="Roboto"/>
        </w:rPr>
      </w:pPr>
    </w:p>
    <w:p w14:paraId="59818362" w14:textId="77777777" w:rsidR="00AC7E34" w:rsidRDefault="00AC7E34" w:rsidP="00AC7E34">
      <w:pPr>
        <w:jc w:val="both"/>
        <w:rPr>
          <w:rFonts w:ascii="Roboto" w:hAnsi="Roboto"/>
        </w:rPr>
      </w:pPr>
    </w:p>
    <w:p w14:paraId="589A20E4" w14:textId="77777777" w:rsidR="00AC7E34" w:rsidRPr="00BE4F8C" w:rsidRDefault="00AC7E34" w:rsidP="00AC7E34">
      <w:pPr>
        <w:jc w:val="both"/>
        <w:rPr>
          <w:rFonts w:ascii="Roboto" w:hAnsi="Roboto"/>
        </w:rPr>
      </w:pPr>
      <w:r w:rsidRPr="00BE4F8C">
        <w:rPr>
          <w:rFonts w:ascii="Roboto" w:hAnsi="Roboto"/>
          <w:noProof/>
          <w14:ligatures w14:val="standardContextual"/>
        </w:rPr>
        <w:drawing>
          <wp:inline distT="0" distB="0" distL="0" distR="0" wp14:anchorId="7B486FAF" wp14:editId="24F19013">
            <wp:extent cx="5531799" cy="3975100"/>
            <wp:effectExtent l="0" t="0" r="0" b="6350"/>
            <wp:docPr id="1098130600" name="Image 1"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53245" name="Image 1" descr="Une image contenant texte, capture d’écran, Police, diagramme&#10;&#10;Description générée automatiquement"/>
                    <pic:cNvPicPr/>
                  </pic:nvPicPr>
                  <pic:blipFill>
                    <a:blip r:embed="rId16"/>
                    <a:stretch>
                      <a:fillRect/>
                    </a:stretch>
                  </pic:blipFill>
                  <pic:spPr>
                    <a:xfrm>
                      <a:off x="0" y="0"/>
                      <a:ext cx="5544496" cy="3984224"/>
                    </a:xfrm>
                    <a:prstGeom prst="rect">
                      <a:avLst/>
                    </a:prstGeom>
                  </pic:spPr>
                </pic:pic>
              </a:graphicData>
            </a:graphic>
          </wp:inline>
        </w:drawing>
      </w:r>
    </w:p>
    <w:p w14:paraId="2BEC9FF3" w14:textId="77777777" w:rsidR="00AC7E34" w:rsidRPr="00BE4F8C" w:rsidRDefault="00AC7E34" w:rsidP="00AC7E34">
      <w:pPr>
        <w:jc w:val="both"/>
        <w:rPr>
          <w:rFonts w:ascii="Roboto" w:hAnsi="Roboto"/>
        </w:rPr>
      </w:pPr>
    </w:p>
    <w:p w14:paraId="2FC0EDF1" w14:textId="77777777" w:rsidR="00AC7E34" w:rsidRDefault="00AC7E34" w:rsidP="00AC7E34">
      <w:pPr>
        <w:jc w:val="both"/>
        <w:rPr>
          <w:rFonts w:ascii="Roboto" w:hAnsi="Roboto"/>
        </w:rPr>
      </w:pPr>
      <w:proofErr w:type="spellStart"/>
      <w:r w:rsidRPr="00FC4425">
        <w:rPr>
          <w:rFonts w:ascii="Roboto" w:hAnsi="Roboto"/>
          <w:highlight w:val="yellow"/>
        </w:rPr>
        <w:t>TotalEnergies</w:t>
      </w:r>
      <w:proofErr w:type="spellEnd"/>
      <w:r w:rsidRPr="00FC4425">
        <w:rPr>
          <w:rFonts w:ascii="Roboto" w:hAnsi="Roboto"/>
          <w:highlight w:val="yellow"/>
        </w:rPr>
        <w:t xml:space="preserve"> maintient un objectif de dépenses annuelles d’investissement de 14 à 18 milliards de dollars sur les cinq prochaines années. Les dépenses dans les énergies bas carbone représenteront un tiers des investissements, plus que les nouveaux projets pétrole et gaz (~ 30 %). En 2024, </w:t>
      </w:r>
      <w:proofErr w:type="spellStart"/>
      <w:r w:rsidRPr="00FC4425">
        <w:rPr>
          <w:rFonts w:ascii="Roboto" w:hAnsi="Roboto"/>
          <w:highlight w:val="yellow"/>
        </w:rPr>
        <w:t>TotalEnergies</w:t>
      </w:r>
      <w:proofErr w:type="spellEnd"/>
      <w:r w:rsidRPr="00FC4425">
        <w:rPr>
          <w:rFonts w:ascii="Roboto" w:hAnsi="Roboto"/>
          <w:highlight w:val="yellow"/>
        </w:rPr>
        <w:t xml:space="preserve"> prévoit d’investir de 17 à 18 milliards de dollars dont, de nouveau, 5 milliards de dollars sur Integrated Power.</w:t>
      </w:r>
    </w:p>
    <w:p w14:paraId="17750707" w14:textId="77777777" w:rsidR="00AC7E34" w:rsidRDefault="00AC7E34" w:rsidP="00AC7E34">
      <w:pPr>
        <w:jc w:val="both"/>
        <w:rPr>
          <w:rFonts w:ascii="Roboto" w:hAnsi="Roboto"/>
        </w:rPr>
      </w:pPr>
      <w:r>
        <w:rPr>
          <w:noProof/>
          <w14:ligatures w14:val="standardContextual"/>
        </w:rPr>
        <w:drawing>
          <wp:inline distT="0" distB="0" distL="0" distR="0" wp14:anchorId="6230FA59" wp14:editId="0C01132F">
            <wp:extent cx="2986004" cy="3057525"/>
            <wp:effectExtent l="0" t="0" r="5080" b="0"/>
            <wp:docPr id="256288001" name="Image 1" descr="Une image contenant texte, capture d’écran, cerc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88001" name="Image 1" descr="Une image contenant texte, capture d’écran, cercle, Police&#10;&#10;Description générée automatiquement"/>
                    <pic:cNvPicPr/>
                  </pic:nvPicPr>
                  <pic:blipFill>
                    <a:blip r:embed="rId17"/>
                    <a:stretch>
                      <a:fillRect/>
                    </a:stretch>
                  </pic:blipFill>
                  <pic:spPr>
                    <a:xfrm>
                      <a:off x="0" y="0"/>
                      <a:ext cx="2987778" cy="3059342"/>
                    </a:xfrm>
                    <a:prstGeom prst="rect">
                      <a:avLst/>
                    </a:prstGeom>
                  </pic:spPr>
                </pic:pic>
              </a:graphicData>
            </a:graphic>
          </wp:inline>
        </w:drawing>
      </w:r>
    </w:p>
    <w:p w14:paraId="7F9B4E2A" w14:textId="77777777" w:rsidR="00AC7E34" w:rsidRPr="00460FDD" w:rsidRDefault="00AC7E34" w:rsidP="00AC7E34">
      <w:pPr>
        <w:jc w:val="both"/>
        <w:rPr>
          <w:rFonts w:ascii="Roboto" w:hAnsi="Roboto"/>
        </w:rPr>
      </w:pPr>
      <w:r w:rsidRPr="00FE369B">
        <w:rPr>
          <w:rFonts w:ascii="Roboto" w:hAnsi="Roboto"/>
          <w:highlight w:val="yellow"/>
        </w:rPr>
        <w:t>Plus de 60% du budget de la R&amp;D (sur un montant total de plus de 1 milliard de dollars) est consacré aux nouvelles énergies (renouvelables, biomasse, batteries…) et à la baisse de l’empreinte carbone de la Compagnie (CCUS, …).</w:t>
      </w:r>
      <w:r w:rsidRPr="00460FDD">
        <w:rPr>
          <w:rFonts w:ascii="Roboto" w:hAnsi="Roboto"/>
        </w:rPr>
        <w:t> </w:t>
      </w:r>
    </w:p>
    <w:p w14:paraId="04128B0F" w14:textId="77777777" w:rsidR="00AC7E34" w:rsidRPr="00BE4F8C" w:rsidRDefault="00AC7E34" w:rsidP="00AC7E34">
      <w:pPr>
        <w:jc w:val="both"/>
        <w:rPr>
          <w:rFonts w:ascii="Roboto" w:hAnsi="Roboto"/>
        </w:rPr>
      </w:pPr>
      <w:r>
        <w:rPr>
          <w:rFonts w:ascii="Roboto" w:hAnsi="Roboto"/>
        </w:rPr>
        <w:t xml:space="preserve">Les </w:t>
      </w:r>
      <w:r w:rsidRPr="00460FDD">
        <w:rPr>
          <w:rFonts w:ascii="Roboto" w:hAnsi="Roboto"/>
        </w:rPr>
        <w:t xml:space="preserve">40% restants </w:t>
      </w:r>
      <w:r>
        <w:rPr>
          <w:rFonts w:ascii="Roboto" w:hAnsi="Roboto"/>
        </w:rPr>
        <w:t xml:space="preserve">sont </w:t>
      </w:r>
      <w:r w:rsidRPr="00460FDD">
        <w:rPr>
          <w:rFonts w:ascii="Roboto" w:hAnsi="Roboto"/>
        </w:rPr>
        <w:t>dédiés à l’optimisation de la performance des opérations, à la réduction des émissions de CO2, à l’électrification et à l’efficacité énergétique des installations</w:t>
      </w:r>
      <w:r>
        <w:rPr>
          <w:rFonts w:ascii="Roboto" w:hAnsi="Roboto"/>
        </w:rPr>
        <w:t xml:space="preserve">. </w:t>
      </w:r>
    </w:p>
    <w:p w14:paraId="566D8435" w14:textId="77777777" w:rsidR="00AC7E34" w:rsidRDefault="00AC7E34" w:rsidP="00AC7E34">
      <w:pPr>
        <w:jc w:val="both"/>
        <w:rPr>
          <w:rFonts w:ascii="Roboto" w:hAnsi="Roboto"/>
        </w:rPr>
      </w:pPr>
      <w:r w:rsidRPr="00BE4F8C">
        <w:rPr>
          <w:rFonts w:ascii="Roboto" w:hAnsi="Roboto"/>
        </w:rPr>
        <w:t xml:space="preserve">Cette orientation fait de </w:t>
      </w:r>
      <w:proofErr w:type="spellStart"/>
      <w:r w:rsidRPr="00BE4F8C">
        <w:rPr>
          <w:rFonts w:ascii="Roboto" w:hAnsi="Roboto"/>
        </w:rPr>
        <w:t>TotalEnergies</w:t>
      </w:r>
      <w:proofErr w:type="spellEnd"/>
      <w:r w:rsidRPr="00BE4F8C">
        <w:rPr>
          <w:rFonts w:ascii="Roboto" w:hAnsi="Roboto"/>
        </w:rPr>
        <w:t xml:space="preserve"> l’entreprise pétrolière et gazière la plus en avance et la plus impliquée en termes d'investissements dans la transition énergétique et les renouvelables. </w:t>
      </w:r>
    </w:p>
    <w:p w14:paraId="4275C337" w14:textId="77777777" w:rsidR="00AC7E34" w:rsidRDefault="00AC7E34" w:rsidP="00AC7E34">
      <w:pPr>
        <w:jc w:val="both"/>
        <w:rPr>
          <w:rFonts w:ascii="Roboto" w:hAnsi="Roboto"/>
        </w:rPr>
      </w:pPr>
      <w:r w:rsidRPr="00BE4F8C">
        <w:rPr>
          <w:rFonts w:ascii="Roboto" w:hAnsi="Roboto"/>
        </w:rPr>
        <w:t xml:space="preserve">Le cabinet d’études américain </w:t>
      </w:r>
      <w:proofErr w:type="spellStart"/>
      <w:r w:rsidRPr="00BE4F8C">
        <w:rPr>
          <w:rFonts w:ascii="Roboto" w:hAnsi="Roboto"/>
        </w:rPr>
        <w:t>Mercom</w:t>
      </w:r>
      <w:proofErr w:type="spellEnd"/>
      <w:r w:rsidRPr="00BE4F8C">
        <w:rPr>
          <w:rFonts w:ascii="Roboto" w:hAnsi="Roboto"/>
        </w:rPr>
        <w:t xml:space="preserve"> a classé, fin 2023, </w:t>
      </w:r>
      <w:proofErr w:type="spellStart"/>
      <w:r w:rsidRPr="00BE4F8C">
        <w:rPr>
          <w:rFonts w:ascii="Roboto" w:hAnsi="Roboto"/>
        </w:rPr>
        <w:t>TotalEnergies</w:t>
      </w:r>
      <w:proofErr w:type="spellEnd"/>
      <w:r w:rsidRPr="00BE4F8C">
        <w:rPr>
          <w:rFonts w:ascii="Roboto" w:hAnsi="Roboto"/>
        </w:rPr>
        <w:t xml:space="preserve"> en première position des 10 premiers développeurs solaires mondiaux. Parmi les nouveaux développements, investissements et innovations de l’année 2023 dans le secteur de </w:t>
      </w:r>
      <w:r w:rsidRPr="00BE4F8C">
        <w:rPr>
          <w:rFonts w:ascii="Roboto" w:hAnsi="Roboto"/>
        </w:rPr>
        <w:lastRenderedPageBreak/>
        <w:t xml:space="preserve">l’énergie, </w:t>
      </w:r>
      <w:proofErr w:type="spellStart"/>
      <w:r w:rsidRPr="00BE4F8C">
        <w:rPr>
          <w:rFonts w:ascii="Roboto" w:hAnsi="Roboto"/>
        </w:rPr>
        <w:t>TotalEnergies</w:t>
      </w:r>
      <w:proofErr w:type="spellEnd"/>
      <w:r w:rsidRPr="00BE4F8C">
        <w:rPr>
          <w:rFonts w:ascii="Roboto" w:hAnsi="Roboto"/>
        </w:rPr>
        <w:t xml:space="preserve"> se classe en deuxième place, sur la base des informations des analystes de </w:t>
      </w:r>
      <w:proofErr w:type="spellStart"/>
      <w:r w:rsidRPr="00BE4F8C">
        <w:rPr>
          <w:rFonts w:ascii="Roboto" w:hAnsi="Roboto"/>
        </w:rPr>
        <w:t>GlobalData</w:t>
      </w:r>
      <w:proofErr w:type="spellEnd"/>
      <w:r w:rsidRPr="00BE4F8C">
        <w:rPr>
          <w:rFonts w:ascii="Roboto" w:hAnsi="Roboto"/>
        </w:rPr>
        <w:t>.</w:t>
      </w:r>
    </w:p>
    <w:p w14:paraId="3ACEE647" w14:textId="77777777" w:rsidR="00AC7E34" w:rsidRDefault="00AC7E34" w:rsidP="00AC7E34">
      <w:pPr>
        <w:jc w:val="both"/>
        <w:rPr>
          <w:rFonts w:ascii="Roboto" w:hAnsi="Roboto"/>
        </w:rPr>
      </w:pPr>
    </w:p>
    <w:p w14:paraId="2E650EB5" w14:textId="77777777" w:rsidR="00AC7E34" w:rsidRPr="003B7804" w:rsidRDefault="00AC7E34" w:rsidP="00AC7E34">
      <w:pPr>
        <w:jc w:val="both"/>
        <w:rPr>
          <w:rFonts w:ascii="Roboto" w:hAnsi="Roboto"/>
          <w:b/>
          <w:bCs/>
          <w:color w:val="0070C0"/>
        </w:rPr>
      </w:pPr>
      <w:proofErr w:type="spellStart"/>
      <w:r w:rsidRPr="003B7804">
        <w:rPr>
          <w:rFonts w:ascii="Roboto" w:hAnsi="Roboto"/>
          <w:b/>
          <w:bCs/>
          <w:color w:val="0070C0"/>
        </w:rPr>
        <w:t>TotalEnergies</w:t>
      </w:r>
      <w:proofErr w:type="spellEnd"/>
      <w:r w:rsidRPr="003B7804">
        <w:rPr>
          <w:rFonts w:ascii="Roboto" w:hAnsi="Roboto"/>
          <w:b/>
          <w:bCs/>
          <w:color w:val="0070C0"/>
        </w:rPr>
        <w:t xml:space="preserve"> et l’électricité  </w:t>
      </w:r>
    </w:p>
    <w:p w14:paraId="75F1F238" w14:textId="77777777" w:rsidR="00AC7E34" w:rsidRDefault="00AC7E34" w:rsidP="00AC7E34">
      <w:pPr>
        <w:jc w:val="both"/>
        <w:rPr>
          <w:rFonts w:ascii="Roboto" w:hAnsi="Roboto"/>
        </w:rPr>
      </w:pPr>
      <w:r w:rsidRPr="00BE4F8C">
        <w:rPr>
          <w:rFonts w:ascii="Roboto" w:hAnsi="Roboto"/>
        </w:rPr>
        <w:t xml:space="preserve">En 2023, </w:t>
      </w:r>
      <w:r>
        <w:rPr>
          <w:rFonts w:ascii="Roboto" w:hAnsi="Roboto"/>
        </w:rPr>
        <w:t>la</w:t>
      </w:r>
      <w:r w:rsidRPr="00BE4F8C">
        <w:rPr>
          <w:rFonts w:ascii="Roboto" w:hAnsi="Roboto"/>
        </w:rPr>
        <w:t xml:space="preserve"> production nette d’électricité </w:t>
      </w:r>
      <w:r>
        <w:rPr>
          <w:rFonts w:ascii="Roboto" w:hAnsi="Roboto"/>
        </w:rPr>
        <w:t xml:space="preserve">de </w:t>
      </w:r>
      <w:proofErr w:type="spellStart"/>
      <w:r>
        <w:rPr>
          <w:rFonts w:ascii="Roboto" w:hAnsi="Roboto"/>
        </w:rPr>
        <w:t>TotalEnergies</w:t>
      </w:r>
      <w:proofErr w:type="spellEnd"/>
      <w:r>
        <w:rPr>
          <w:rFonts w:ascii="Roboto" w:hAnsi="Roboto"/>
        </w:rPr>
        <w:t xml:space="preserve"> </w:t>
      </w:r>
      <w:r w:rsidRPr="00BE4F8C">
        <w:rPr>
          <w:rFonts w:ascii="Roboto" w:hAnsi="Roboto"/>
        </w:rPr>
        <w:t xml:space="preserve">s’est élevée à 33 TWh d’électricité dont 19 TWh d’électricité renouvelable. La Compagnie prévoit d’augmenter sa production d’électricité à plus de </w:t>
      </w:r>
      <w:r w:rsidRPr="00FE369B">
        <w:rPr>
          <w:rFonts w:ascii="Roboto" w:hAnsi="Roboto"/>
          <w:highlight w:val="yellow"/>
        </w:rPr>
        <w:t>100 TWh d’ici 2030</w:t>
      </w:r>
      <w:r w:rsidRPr="00BE4F8C">
        <w:rPr>
          <w:rFonts w:ascii="Roboto" w:hAnsi="Roboto"/>
        </w:rPr>
        <w:t xml:space="preserve"> en investissant en moyenne 4 milliards de dollars par an</w:t>
      </w:r>
      <w:r>
        <w:rPr>
          <w:rFonts w:ascii="Roboto" w:hAnsi="Roboto"/>
        </w:rPr>
        <w:t xml:space="preserve">. </w:t>
      </w:r>
    </w:p>
    <w:p w14:paraId="5DE63E96" w14:textId="77777777" w:rsidR="00AC7E34" w:rsidRDefault="00AC7E34" w:rsidP="00AC7E34">
      <w:pPr>
        <w:jc w:val="both"/>
        <w:rPr>
          <w:rFonts w:ascii="Roboto" w:hAnsi="Roboto"/>
        </w:rPr>
      </w:pPr>
      <w:r>
        <w:rPr>
          <w:rFonts w:ascii="Roboto" w:hAnsi="Roboto"/>
        </w:rPr>
        <w:t xml:space="preserve">Fin 2023, </w:t>
      </w:r>
      <w:proofErr w:type="spellStart"/>
      <w:r>
        <w:rPr>
          <w:rFonts w:ascii="Roboto" w:hAnsi="Roboto"/>
        </w:rPr>
        <w:t>TotalEnergies</w:t>
      </w:r>
      <w:proofErr w:type="spellEnd"/>
      <w:r>
        <w:rPr>
          <w:rFonts w:ascii="Roboto" w:hAnsi="Roboto"/>
        </w:rPr>
        <w:t xml:space="preserve"> a atteint une capacité brute mondiale installée de production d’électricité renouvelable de 22 GW (près de 14 EPR). En France, </w:t>
      </w:r>
      <w:proofErr w:type="spellStart"/>
      <w:r>
        <w:rPr>
          <w:rFonts w:ascii="Roboto" w:hAnsi="Roboto"/>
        </w:rPr>
        <w:t>TotalEnergies</w:t>
      </w:r>
      <w:proofErr w:type="spellEnd"/>
      <w:r>
        <w:rPr>
          <w:rFonts w:ascii="Roboto" w:hAnsi="Roboto"/>
        </w:rPr>
        <w:t xml:space="preserve"> a passé la barre des 1,6 GW (un réacteur EPR) en 2023.  </w:t>
      </w:r>
    </w:p>
    <w:p w14:paraId="64FBDE3A" w14:textId="77777777" w:rsidR="00AC7E34" w:rsidRDefault="00AC7E34" w:rsidP="00AC7E34">
      <w:pPr>
        <w:jc w:val="both"/>
        <w:rPr>
          <w:rFonts w:ascii="Roboto" w:hAnsi="Roboto"/>
        </w:rPr>
      </w:pPr>
      <w:r w:rsidRPr="00BE4F8C">
        <w:rPr>
          <w:rFonts w:ascii="Roboto" w:hAnsi="Roboto"/>
          <w:noProof/>
          <w14:ligatures w14:val="standardContextual"/>
        </w:rPr>
        <w:drawing>
          <wp:inline distT="0" distB="0" distL="0" distR="0" wp14:anchorId="2049A64D" wp14:editId="447DA29A">
            <wp:extent cx="6397809" cy="4448175"/>
            <wp:effectExtent l="0" t="0" r="3175" b="0"/>
            <wp:docPr id="2114865340" name="Image 1" descr="Une image contenant texte, capture d’écran, Site web,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388507" name="Image 1" descr="Une image contenant texte, capture d’écran, Site web, Page web&#10;&#10;Description générée automatiquement"/>
                    <pic:cNvPicPr/>
                  </pic:nvPicPr>
                  <pic:blipFill>
                    <a:blip r:embed="rId18"/>
                    <a:stretch>
                      <a:fillRect/>
                    </a:stretch>
                  </pic:blipFill>
                  <pic:spPr>
                    <a:xfrm>
                      <a:off x="0" y="0"/>
                      <a:ext cx="6403511" cy="4452140"/>
                    </a:xfrm>
                    <a:prstGeom prst="rect">
                      <a:avLst/>
                    </a:prstGeom>
                  </pic:spPr>
                </pic:pic>
              </a:graphicData>
            </a:graphic>
          </wp:inline>
        </w:drawing>
      </w:r>
    </w:p>
    <w:p w14:paraId="2D8939D4" w14:textId="77777777" w:rsidR="00AC7E34" w:rsidRDefault="00AC7E34" w:rsidP="00AC7E34">
      <w:pPr>
        <w:jc w:val="both"/>
        <w:rPr>
          <w:rFonts w:ascii="Roboto" w:hAnsi="Roboto"/>
        </w:rPr>
      </w:pPr>
    </w:p>
    <w:p w14:paraId="047C3CEE" w14:textId="77777777" w:rsidR="00AC7E34" w:rsidRPr="00BE4F8C" w:rsidRDefault="00AC7E34" w:rsidP="00AC7E34">
      <w:pPr>
        <w:jc w:val="both"/>
        <w:rPr>
          <w:rFonts w:ascii="Roboto" w:hAnsi="Roboto"/>
        </w:rPr>
      </w:pPr>
    </w:p>
    <w:p w14:paraId="2D3A31CE" w14:textId="77777777" w:rsidR="00AC7E34" w:rsidRPr="00BE4F8C" w:rsidRDefault="00AC7E34" w:rsidP="00AC7E34">
      <w:pPr>
        <w:jc w:val="both"/>
        <w:rPr>
          <w:rFonts w:ascii="Roboto" w:hAnsi="Roboto"/>
        </w:rPr>
      </w:pPr>
      <w:r w:rsidRPr="00BE4F8C">
        <w:rPr>
          <w:rFonts w:ascii="Roboto" w:hAnsi="Roboto"/>
          <w:noProof/>
          <w14:ligatures w14:val="standardContextual"/>
        </w:rPr>
        <w:lastRenderedPageBreak/>
        <w:drawing>
          <wp:inline distT="0" distB="0" distL="0" distR="0" wp14:anchorId="22D3C47D" wp14:editId="3125C162">
            <wp:extent cx="6695440" cy="3748290"/>
            <wp:effectExtent l="0" t="0" r="0" b="5080"/>
            <wp:docPr id="17614071" name="Image 1" descr="Une image contenant texte, carte, atlas,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071" name="Image 1" descr="Une image contenant texte, carte, atlas, capture d’écran&#10;&#10;Description générée automatiquement"/>
                    <pic:cNvPicPr/>
                  </pic:nvPicPr>
                  <pic:blipFill>
                    <a:blip r:embed="rId19"/>
                    <a:stretch>
                      <a:fillRect/>
                    </a:stretch>
                  </pic:blipFill>
                  <pic:spPr>
                    <a:xfrm>
                      <a:off x="0" y="0"/>
                      <a:ext cx="6701595" cy="3751735"/>
                    </a:xfrm>
                    <a:prstGeom prst="rect">
                      <a:avLst/>
                    </a:prstGeom>
                  </pic:spPr>
                </pic:pic>
              </a:graphicData>
            </a:graphic>
          </wp:inline>
        </w:drawing>
      </w:r>
    </w:p>
    <w:p w14:paraId="2C958048" w14:textId="77777777" w:rsidR="00AC7E34" w:rsidRPr="00BE4F8C" w:rsidRDefault="00AC7E34" w:rsidP="00AC7E34">
      <w:pPr>
        <w:jc w:val="both"/>
        <w:rPr>
          <w:rFonts w:ascii="Roboto" w:hAnsi="Roboto"/>
        </w:rPr>
      </w:pPr>
    </w:p>
    <w:p w14:paraId="7E6718D4" w14:textId="77777777" w:rsidR="00AC7E34" w:rsidRPr="00BE4F8C" w:rsidRDefault="00AC7E34" w:rsidP="00AC7E34">
      <w:pPr>
        <w:jc w:val="both"/>
        <w:rPr>
          <w:rFonts w:ascii="Roboto" w:hAnsi="Roboto"/>
        </w:rPr>
      </w:pPr>
    </w:p>
    <w:p w14:paraId="54307294" w14:textId="77777777" w:rsidR="00AC7E34" w:rsidRPr="00BE4F8C" w:rsidRDefault="00AC7E34" w:rsidP="00AC7E34">
      <w:pPr>
        <w:jc w:val="both"/>
        <w:rPr>
          <w:rFonts w:ascii="Roboto" w:hAnsi="Roboto"/>
        </w:rPr>
      </w:pPr>
    </w:p>
    <w:p w14:paraId="61A87174" w14:textId="77777777" w:rsidR="00AC7E34" w:rsidRPr="00BE4F8C" w:rsidRDefault="00AC7E34" w:rsidP="00AC7E34">
      <w:pPr>
        <w:rPr>
          <w:rFonts w:ascii="Roboto" w:hAnsi="Roboto"/>
        </w:rPr>
      </w:pPr>
    </w:p>
    <w:p w14:paraId="40EDDA50" w14:textId="77777777" w:rsidR="00184127" w:rsidRPr="00C058C9" w:rsidRDefault="00184127" w:rsidP="57A0AEF5">
      <w:pPr>
        <w:spacing w:after="322"/>
        <w:jc w:val="both"/>
        <w:rPr>
          <w:rFonts w:ascii="Aptos" w:eastAsia="Aptos" w:hAnsi="Aptos" w:cs="Aptos"/>
          <w:b/>
          <w:bCs/>
          <w:i/>
          <w:iCs/>
        </w:rPr>
      </w:pPr>
    </w:p>
    <w:sectPr w:rsidR="00184127" w:rsidRPr="00C058C9">
      <w:headerReference w:type="default" r:id="rId20"/>
      <w:footerReference w:type="default" r:id="rId2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709D" w14:textId="77777777" w:rsidR="00A05281" w:rsidRDefault="00A05281">
      <w:pPr>
        <w:spacing w:after="0" w:line="240" w:lineRule="auto"/>
      </w:pPr>
      <w:r>
        <w:separator/>
      </w:r>
    </w:p>
  </w:endnote>
  <w:endnote w:type="continuationSeparator" w:id="0">
    <w:p w14:paraId="75369AAD" w14:textId="77777777" w:rsidR="00A05281" w:rsidRDefault="00A05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unito">
    <w:altName w:val="Nunito"/>
    <w:charset w:val="00"/>
    <w:family w:val="auto"/>
    <w:pitch w:val="variable"/>
    <w:sig w:usb0="A00002FF" w:usb1="5000204B" w:usb2="00000000" w:usb3="00000000" w:csb0="00000197"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30" w:type="dxa"/>
      <w:tblLook w:val="06A0" w:firstRow="1" w:lastRow="0" w:firstColumn="1" w:lastColumn="0" w:noHBand="1" w:noVBand="1"/>
    </w:tblPr>
    <w:tblGrid>
      <w:gridCol w:w="3005"/>
      <w:gridCol w:w="3005"/>
      <w:gridCol w:w="3005"/>
      <w:gridCol w:w="3005"/>
      <w:gridCol w:w="3005"/>
      <w:gridCol w:w="3005"/>
    </w:tblGrid>
    <w:tr w:rsidR="003A7978" w14:paraId="21ADD307" w14:textId="77777777" w:rsidTr="003A7978">
      <w:trPr>
        <w:trHeight w:val="300"/>
      </w:trPr>
      <w:tc>
        <w:tcPr>
          <w:tcW w:w="3005" w:type="dxa"/>
        </w:tcPr>
        <w:p w14:paraId="607BED7B" w14:textId="77777777" w:rsidR="003A7978" w:rsidRDefault="003A7978" w:rsidP="003A7978">
          <w:pPr>
            <w:pStyle w:val="En-tte"/>
            <w:ind w:left="-115"/>
          </w:pPr>
        </w:p>
      </w:tc>
      <w:tc>
        <w:tcPr>
          <w:tcW w:w="3005" w:type="dxa"/>
        </w:tcPr>
        <w:p w14:paraId="56AE8B95" w14:textId="77777777" w:rsidR="003A7978" w:rsidRPr="00261F4D" w:rsidRDefault="003A7978" w:rsidP="003A7978">
          <w:pPr>
            <w:pStyle w:val="Pieddepage"/>
            <w:jc w:val="center"/>
            <w:rPr>
              <w:sz w:val="18"/>
            </w:rPr>
          </w:pPr>
          <w:proofErr w:type="spellStart"/>
          <w:r w:rsidRPr="00261F4D">
            <w:rPr>
              <w:sz w:val="18"/>
            </w:rPr>
            <w:t>Transparency</w:t>
          </w:r>
          <w:proofErr w:type="spellEnd"/>
          <w:r w:rsidRPr="00261F4D">
            <w:rPr>
              <w:sz w:val="18"/>
            </w:rPr>
            <w:t xml:space="preserve"> International France</w:t>
          </w:r>
        </w:p>
        <w:p w14:paraId="012DB477" w14:textId="77777777" w:rsidR="003A7978" w:rsidRPr="00261F4D" w:rsidRDefault="003A7978" w:rsidP="003A7978">
          <w:pPr>
            <w:pStyle w:val="Pieddepage"/>
            <w:jc w:val="center"/>
            <w:rPr>
              <w:sz w:val="18"/>
            </w:rPr>
          </w:pPr>
          <w:r w:rsidRPr="00261F4D">
            <w:rPr>
              <w:sz w:val="18"/>
            </w:rPr>
            <w:t>14 passage Dubail 75010 Paris</w:t>
          </w:r>
        </w:p>
        <w:p w14:paraId="5170EAD5" w14:textId="77777777" w:rsidR="003A7978" w:rsidRPr="00AA04ED" w:rsidRDefault="003A7978" w:rsidP="003A7978">
          <w:pPr>
            <w:pStyle w:val="Pieddepage"/>
            <w:jc w:val="center"/>
            <w:rPr>
              <w:sz w:val="18"/>
            </w:rPr>
          </w:pPr>
          <w:r w:rsidRPr="00261F4D">
            <w:rPr>
              <w:sz w:val="18"/>
            </w:rPr>
            <w:t xml:space="preserve">01.84.16.95.65 – </w:t>
          </w:r>
          <w:hyperlink r:id="rId1" w:history="1">
            <w:r w:rsidRPr="00261F4D">
              <w:rPr>
                <w:rStyle w:val="Lienhypertexte"/>
                <w:sz w:val="18"/>
              </w:rPr>
              <w:t>contact@transparency-france.org</w:t>
            </w:r>
          </w:hyperlink>
          <w:r w:rsidRPr="00261F4D">
            <w:rPr>
              <w:sz w:val="18"/>
            </w:rPr>
            <w:t xml:space="preserve"> </w:t>
          </w:r>
          <w:r>
            <w:t xml:space="preserve"> </w:t>
          </w:r>
        </w:p>
        <w:p w14:paraId="0D5273BC" w14:textId="77777777" w:rsidR="003A7978" w:rsidRDefault="003A7978" w:rsidP="003A7978">
          <w:pPr>
            <w:pStyle w:val="En-tte"/>
            <w:ind w:left="-115"/>
          </w:pPr>
        </w:p>
      </w:tc>
      <w:tc>
        <w:tcPr>
          <w:tcW w:w="3005" w:type="dxa"/>
        </w:tcPr>
        <w:p w14:paraId="2F2EA3ED" w14:textId="77777777" w:rsidR="003A7978" w:rsidRDefault="003A7978" w:rsidP="003A7978">
          <w:pPr>
            <w:pStyle w:val="En-tte"/>
            <w:ind w:left="-115"/>
          </w:pPr>
        </w:p>
      </w:tc>
      <w:tc>
        <w:tcPr>
          <w:tcW w:w="3005" w:type="dxa"/>
        </w:tcPr>
        <w:p w14:paraId="5D49DA21" w14:textId="2011A88D" w:rsidR="003A7978" w:rsidRDefault="003A7978" w:rsidP="003A7978">
          <w:pPr>
            <w:pStyle w:val="En-tte"/>
            <w:ind w:left="-115"/>
          </w:pPr>
        </w:p>
      </w:tc>
      <w:tc>
        <w:tcPr>
          <w:tcW w:w="3005" w:type="dxa"/>
        </w:tcPr>
        <w:p w14:paraId="31825054" w14:textId="368DE5B7" w:rsidR="003A7978" w:rsidRDefault="003A7978" w:rsidP="003A7978">
          <w:pPr>
            <w:pStyle w:val="En-tte"/>
            <w:jc w:val="center"/>
          </w:pPr>
        </w:p>
      </w:tc>
      <w:tc>
        <w:tcPr>
          <w:tcW w:w="3005" w:type="dxa"/>
        </w:tcPr>
        <w:p w14:paraId="1D11322E" w14:textId="11482353" w:rsidR="003A7978" w:rsidRDefault="003A7978" w:rsidP="003A7978">
          <w:pPr>
            <w:pStyle w:val="En-tte"/>
            <w:ind w:right="-115"/>
            <w:jc w:val="right"/>
          </w:pPr>
        </w:p>
      </w:tc>
    </w:tr>
  </w:tbl>
  <w:p w14:paraId="101BBFF1" w14:textId="4F313350" w:rsidR="57A0AEF5" w:rsidRDefault="57A0AEF5" w:rsidP="57A0AE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58C4" w14:textId="77777777" w:rsidR="00A05281" w:rsidRDefault="00A05281">
      <w:pPr>
        <w:spacing w:after="0" w:line="240" w:lineRule="auto"/>
      </w:pPr>
      <w:r>
        <w:separator/>
      </w:r>
    </w:p>
  </w:footnote>
  <w:footnote w:type="continuationSeparator" w:id="0">
    <w:p w14:paraId="67FAECAB" w14:textId="77777777" w:rsidR="00A05281" w:rsidRDefault="00A05281">
      <w:pPr>
        <w:spacing w:after="0" w:line="240" w:lineRule="auto"/>
      </w:pPr>
      <w:r>
        <w:continuationSeparator/>
      </w:r>
    </w:p>
  </w:footnote>
  <w:footnote w:id="1">
    <w:p w14:paraId="0CA7982E" w14:textId="18E3A092" w:rsidR="00783761" w:rsidRPr="00783761" w:rsidRDefault="00783761" w:rsidP="00783761">
      <w:pPr>
        <w:pStyle w:val="Notedebasdepage"/>
        <w:rPr>
          <w:i/>
          <w:iCs/>
        </w:rPr>
      </w:pPr>
      <w:r>
        <w:rPr>
          <w:rStyle w:val="Appelnotedebasdep"/>
        </w:rPr>
        <w:footnoteRef/>
      </w:r>
      <w:r>
        <w:t xml:space="preserve"> </w:t>
      </w:r>
      <w:hyperlink r:id="rId1" w:history="1">
        <w:r w:rsidRPr="00632ECE">
          <w:rPr>
            <w:rStyle w:val="Lienhypertexte"/>
          </w:rPr>
          <w:t>Délibération n°2024-88 du 30 avril 2024</w:t>
        </w:r>
      </w:hyperlink>
      <w:r>
        <w:t xml:space="preserve">, en application du </w:t>
      </w:r>
      <w:r w:rsidRPr="00783761">
        <w:t xml:space="preserve"> II de l’article 20 de la loi du 11 octobre 2013</w:t>
      </w:r>
      <w:r>
        <w:t xml:space="preserve">, qui dispose que </w:t>
      </w:r>
      <w:r w:rsidRPr="007568F8">
        <w:t>la Haute Autorité pour la transparence de la vie publique peut être saisie</w:t>
      </w:r>
      <w:r w:rsidRPr="00783761">
        <w:rPr>
          <w:i/>
          <w:iCs/>
        </w:rPr>
        <w:t xml:space="preserve"> </w:t>
      </w:r>
      <w:r w:rsidR="007568F8">
        <w:rPr>
          <w:i/>
          <w:iCs/>
        </w:rPr>
        <w:t>« </w:t>
      </w:r>
      <w:r w:rsidRPr="00783761">
        <w:rPr>
          <w:i/>
          <w:iCs/>
        </w:rPr>
        <w:t>par les associations se proposant, par leurs statuts, de lutter contre la corruption, qu’elle a préalablement agréées en application de critères objectifs définis par son règlement général</w:t>
      </w:r>
      <w:r>
        <w:t xml:space="preserve"> »</w:t>
      </w:r>
    </w:p>
  </w:footnote>
  <w:footnote w:id="2">
    <w:p w14:paraId="1FB3B85D" w14:textId="48AC4606" w:rsidR="57A0AEF5" w:rsidRDefault="57A0AEF5" w:rsidP="57A0AEF5">
      <w:pPr>
        <w:pStyle w:val="Notedebasdepage"/>
      </w:pPr>
      <w:r w:rsidRPr="57A0AEF5">
        <w:rPr>
          <w:rStyle w:val="Appelnotedebasdep"/>
          <w:rFonts w:ascii="Aptos" w:eastAsia="Aptos" w:hAnsi="Aptos" w:cs="Aptos"/>
        </w:rPr>
        <w:footnoteRef/>
      </w:r>
      <w:r w:rsidRPr="57A0AEF5">
        <w:rPr>
          <w:rFonts w:ascii="Aptos" w:eastAsia="Aptos" w:hAnsi="Aptos" w:cs="Aptos"/>
        </w:rPr>
        <w:t xml:space="preserve"> Voir la version archivée de la déclaration HATVP de Total Energies SE à la date du 3 mai 2024 : </w:t>
      </w:r>
      <w:hyperlink r:id="rId2">
        <w:r w:rsidRPr="57A0AEF5">
          <w:rPr>
            <w:rStyle w:val="Lienhypertexte"/>
            <w:rFonts w:ascii="Aptos" w:eastAsia="Aptos" w:hAnsi="Aptos" w:cs="Aptos"/>
          </w:rPr>
          <w:t>https://web.archive.org/web/20240503085349/https://www.hatvp.fr/fiche-organisation/?organisation=542051180</w:t>
        </w:r>
      </w:hyperlink>
      <w:r w:rsidRPr="57A0AEF5">
        <w:rPr>
          <w:rFonts w:ascii="Aptos" w:eastAsia="Aptos" w:hAnsi="Aptos" w:cs="Aptos"/>
        </w:rPr>
        <w:t xml:space="preserve"> </w:t>
      </w:r>
    </w:p>
  </w:footnote>
  <w:footnote w:id="3">
    <w:p w14:paraId="5B39D323" w14:textId="671B3A40" w:rsidR="57A0AEF5" w:rsidRDefault="57A0AEF5" w:rsidP="57A0AEF5">
      <w:pPr>
        <w:pStyle w:val="Notedebasdepage"/>
      </w:pPr>
      <w:r w:rsidRPr="57A0AEF5">
        <w:rPr>
          <w:rStyle w:val="Appelnotedebasdep"/>
          <w:rFonts w:ascii="Aptos" w:eastAsia="Aptos" w:hAnsi="Aptos" w:cs="Aptos"/>
        </w:rPr>
        <w:footnoteRef/>
      </w:r>
      <w:r w:rsidRPr="57A0AEF5">
        <w:rPr>
          <w:rFonts w:ascii="Aptos" w:eastAsia="Aptos" w:hAnsi="Aptos" w:cs="Aptos"/>
        </w:rPr>
        <w:t xml:space="preserve"> </w:t>
      </w:r>
      <w:hyperlink r:id="rId3" w:history="1">
        <w:r w:rsidRPr="00FA3629">
          <w:rPr>
            <w:rStyle w:val="Lienhypertexte"/>
            <w:rFonts w:ascii="Aptos" w:eastAsia="Aptos" w:hAnsi="Aptos" w:cs="Aptos"/>
          </w:rPr>
          <w:t>5° de l’article 1</w:t>
        </w:r>
        <w:r w:rsidR="00B23A30" w:rsidRPr="00FA3629">
          <w:rPr>
            <w:rStyle w:val="Lienhypertexte"/>
            <w:rFonts w:ascii="Aptos" w:eastAsia="Aptos" w:hAnsi="Aptos" w:cs="Aptos"/>
          </w:rPr>
          <w:t>8</w:t>
        </w:r>
        <w:r w:rsidRPr="00FA3629">
          <w:rPr>
            <w:rStyle w:val="Lienhypertexte"/>
            <w:rFonts w:ascii="Aptos" w:eastAsia="Aptos" w:hAnsi="Aptos" w:cs="Aptos"/>
          </w:rPr>
          <w:t>-5 de loi n° 2013-907 du 11 octobre 2013</w:t>
        </w:r>
      </w:hyperlink>
      <w:r w:rsidRPr="57A0AEF5">
        <w:rPr>
          <w:rFonts w:ascii="Aptos" w:eastAsia="Aptos" w:hAnsi="Aptos" w:cs="Aptos"/>
        </w:rPr>
        <w:t xml:space="preserve"> relative à la transparence de la vie publique</w:t>
      </w:r>
    </w:p>
  </w:footnote>
  <w:footnote w:id="4">
    <w:p w14:paraId="3FF503BA" w14:textId="798AA306" w:rsidR="57A0AEF5" w:rsidRDefault="57A0AEF5" w:rsidP="57A0AEF5">
      <w:pPr>
        <w:pStyle w:val="Notedebasdepage"/>
      </w:pPr>
      <w:r w:rsidRPr="57A0AEF5">
        <w:rPr>
          <w:rStyle w:val="Appelnotedebasdep"/>
          <w:rFonts w:ascii="Aptos" w:eastAsia="Aptos" w:hAnsi="Aptos" w:cs="Aptos"/>
        </w:rPr>
        <w:footnoteRef/>
      </w:r>
      <w:r w:rsidRPr="57A0AEF5">
        <w:rPr>
          <w:rFonts w:ascii="Aptos" w:eastAsia="Aptos" w:hAnsi="Aptos" w:cs="Aptos"/>
        </w:rPr>
        <w:t xml:space="preserve"> </w:t>
      </w:r>
      <w:hyperlink r:id="rId4" w:history="1">
        <w:r w:rsidRPr="00E75D8E">
          <w:rPr>
            <w:rStyle w:val="Lienhypertexte"/>
            <w:rFonts w:ascii="Aptos" w:eastAsia="Aptos" w:hAnsi="Aptos" w:cs="Aptos"/>
          </w:rPr>
          <w:t>Décision RG n°22/02955</w:t>
        </w:r>
      </w:hyperlink>
    </w:p>
  </w:footnote>
  <w:footnote w:id="5">
    <w:p w14:paraId="4875C5C0" w14:textId="3E713582" w:rsidR="57A0AEF5" w:rsidRDefault="57A0AEF5" w:rsidP="57A0AEF5">
      <w:pPr>
        <w:pStyle w:val="Notedebasdepage"/>
      </w:pPr>
      <w:r w:rsidRPr="57A0AEF5">
        <w:rPr>
          <w:rStyle w:val="Appelnotedebasdep"/>
          <w:rFonts w:ascii="Aptos" w:eastAsia="Aptos" w:hAnsi="Aptos" w:cs="Aptos"/>
        </w:rPr>
        <w:footnoteRef/>
      </w:r>
      <w:r w:rsidRPr="57A0AEF5">
        <w:rPr>
          <w:rFonts w:ascii="Aptos" w:eastAsia="Aptos" w:hAnsi="Aptos" w:cs="Aptos"/>
        </w:rPr>
        <w:t xml:space="preserve"> </w:t>
      </w:r>
      <w:hyperlink r:id="rId5" w:history="1">
        <w:r w:rsidR="0056365B" w:rsidRPr="008F180F">
          <w:rPr>
            <w:rStyle w:val="Lienhypertexte"/>
            <w:rFonts w:ascii="Aptos" w:eastAsia="Aptos" w:hAnsi="Aptos" w:cs="Aptos"/>
          </w:rPr>
          <w:t>https://www.totalenergies.fr/fileadmin/Digital/Documents-contractuels/Dispositif.pdf</w:t>
        </w:r>
      </w:hyperlink>
      <w:r w:rsidR="0056365B">
        <w:rPr>
          <w:rFonts w:ascii="Aptos" w:eastAsia="Aptos" w:hAnsi="Aptos" w:cs="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7A0AEF5" w14:paraId="59DEF4FA" w14:textId="77777777" w:rsidTr="57A0AEF5">
      <w:trPr>
        <w:trHeight w:val="300"/>
      </w:trPr>
      <w:tc>
        <w:tcPr>
          <w:tcW w:w="3005" w:type="dxa"/>
        </w:tcPr>
        <w:p w14:paraId="460212C9" w14:textId="0DB3E777" w:rsidR="57A0AEF5" w:rsidRDefault="003A7978" w:rsidP="57A0AEF5">
          <w:pPr>
            <w:pStyle w:val="En-tte"/>
            <w:ind w:left="-115"/>
          </w:pPr>
          <w:r>
            <w:rPr>
              <w:noProof/>
            </w:rPr>
            <w:drawing>
              <wp:inline distT="0" distB="0" distL="0" distR="0" wp14:anchorId="49C365D8" wp14:editId="6826F059">
                <wp:extent cx="1386254" cy="628650"/>
                <wp:effectExtent l="0" t="0" r="444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ransparency-international-france.png"/>
                        <pic:cNvPicPr/>
                      </pic:nvPicPr>
                      <pic:blipFill>
                        <a:blip r:embed="rId1">
                          <a:extLst>
                            <a:ext uri="{28A0092B-C50C-407E-A947-70E740481C1C}">
                              <a14:useLocalDpi xmlns:a14="http://schemas.microsoft.com/office/drawing/2010/main" val="0"/>
                            </a:ext>
                          </a:extLst>
                        </a:blip>
                        <a:stretch>
                          <a:fillRect/>
                        </a:stretch>
                      </pic:blipFill>
                      <pic:spPr>
                        <a:xfrm>
                          <a:off x="0" y="0"/>
                          <a:ext cx="1389500" cy="630122"/>
                        </a:xfrm>
                        <a:prstGeom prst="rect">
                          <a:avLst/>
                        </a:prstGeom>
                      </pic:spPr>
                    </pic:pic>
                  </a:graphicData>
                </a:graphic>
              </wp:inline>
            </w:drawing>
          </w:r>
        </w:p>
      </w:tc>
      <w:tc>
        <w:tcPr>
          <w:tcW w:w="3005" w:type="dxa"/>
        </w:tcPr>
        <w:p w14:paraId="50E1A784" w14:textId="047053E3" w:rsidR="57A0AEF5" w:rsidRDefault="57A0AEF5" w:rsidP="57A0AEF5">
          <w:pPr>
            <w:pStyle w:val="En-tte"/>
            <w:jc w:val="center"/>
          </w:pPr>
        </w:p>
      </w:tc>
      <w:tc>
        <w:tcPr>
          <w:tcW w:w="3005" w:type="dxa"/>
        </w:tcPr>
        <w:p w14:paraId="5FA8C74A" w14:textId="01AFFC65" w:rsidR="57A0AEF5" w:rsidRDefault="57A0AEF5" w:rsidP="57A0AEF5">
          <w:pPr>
            <w:pStyle w:val="En-tte"/>
            <w:ind w:right="-115"/>
            <w:jc w:val="right"/>
          </w:pPr>
        </w:p>
      </w:tc>
    </w:tr>
  </w:tbl>
  <w:p w14:paraId="2F3623A1" w14:textId="0FCB08FC" w:rsidR="57A0AEF5" w:rsidRDefault="57A0AEF5" w:rsidP="57A0AE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D97"/>
    <w:multiLevelType w:val="hybridMultilevel"/>
    <w:tmpl w:val="60121C70"/>
    <w:lvl w:ilvl="0" w:tplc="FFFFFFFF">
      <w:start w:val="1"/>
      <w:numFmt w:val="bullet"/>
      <w:lvlText w:val=""/>
      <w:lvlJc w:val="left"/>
      <w:pPr>
        <w:ind w:left="720" w:hanging="360"/>
      </w:pPr>
      <w:rPr>
        <w:rFonts w:ascii="Wingdings" w:hAnsi="Wingdings" w:hint="default"/>
      </w:rPr>
    </w:lvl>
    <w:lvl w:ilvl="1" w:tplc="040C0001">
      <w:start w:val="1"/>
      <w:numFmt w:val="bullet"/>
      <w:lvlText w:val=""/>
      <w:lvlJc w:val="left"/>
      <w:pPr>
        <w:ind w:left="7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8743D0"/>
    <w:multiLevelType w:val="hybridMultilevel"/>
    <w:tmpl w:val="252A395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F711ED7"/>
    <w:multiLevelType w:val="hybridMultilevel"/>
    <w:tmpl w:val="9A7E42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7EE153"/>
    <w:multiLevelType w:val="hybridMultilevel"/>
    <w:tmpl w:val="DC564BF4"/>
    <w:lvl w:ilvl="0" w:tplc="46D6D0EE">
      <w:start w:val="1"/>
      <w:numFmt w:val="bullet"/>
      <w:lvlText w:val="-"/>
      <w:lvlJc w:val="left"/>
      <w:pPr>
        <w:ind w:left="720" w:hanging="360"/>
      </w:pPr>
      <w:rPr>
        <w:rFonts w:ascii="Aptos" w:hAnsi="Aptos" w:hint="default"/>
      </w:rPr>
    </w:lvl>
    <w:lvl w:ilvl="1" w:tplc="D14269CC">
      <w:start w:val="1"/>
      <w:numFmt w:val="bullet"/>
      <w:lvlText w:val="o"/>
      <w:lvlJc w:val="left"/>
      <w:pPr>
        <w:ind w:left="1440" w:hanging="360"/>
      </w:pPr>
      <w:rPr>
        <w:rFonts w:ascii="Courier New" w:hAnsi="Courier New" w:hint="default"/>
      </w:rPr>
    </w:lvl>
    <w:lvl w:ilvl="2" w:tplc="269A2CC2">
      <w:start w:val="1"/>
      <w:numFmt w:val="bullet"/>
      <w:lvlText w:val=""/>
      <w:lvlJc w:val="left"/>
      <w:pPr>
        <w:ind w:left="2160" w:hanging="360"/>
      </w:pPr>
      <w:rPr>
        <w:rFonts w:ascii="Wingdings" w:hAnsi="Wingdings" w:hint="default"/>
      </w:rPr>
    </w:lvl>
    <w:lvl w:ilvl="3" w:tplc="7CFC5A72">
      <w:start w:val="1"/>
      <w:numFmt w:val="bullet"/>
      <w:lvlText w:val=""/>
      <w:lvlJc w:val="left"/>
      <w:pPr>
        <w:ind w:left="2880" w:hanging="360"/>
      </w:pPr>
      <w:rPr>
        <w:rFonts w:ascii="Symbol" w:hAnsi="Symbol" w:hint="default"/>
      </w:rPr>
    </w:lvl>
    <w:lvl w:ilvl="4" w:tplc="2556CE88">
      <w:start w:val="1"/>
      <w:numFmt w:val="bullet"/>
      <w:lvlText w:val="o"/>
      <w:lvlJc w:val="left"/>
      <w:pPr>
        <w:ind w:left="3600" w:hanging="360"/>
      </w:pPr>
      <w:rPr>
        <w:rFonts w:ascii="Courier New" w:hAnsi="Courier New" w:hint="default"/>
      </w:rPr>
    </w:lvl>
    <w:lvl w:ilvl="5" w:tplc="B4E8C95C">
      <w:start w:val="1"/>
      <w:numFmt w:val="bullet"/>
      <w:lvlText w:val=""/>
      <w:lvlJc w:val="left"/>
      <w:pPr>
        <w:ind w:left="4320" w:hanging="360"/>
      </w:pPr>
      <w:rPr>
        <w:rFonts w:ascii="Wingdings" w:hAnsi="Wingdings" w:hint="default"/>
      </w:rPr>
    </w:lvl>
    <w:lvl w:ilvl="6" w:tplc="6AF23F84">
      <w:start w:val="1"/>
      <w:numFmt w:val="bullet"/>
      <w:lvlText w:val=""/>
      <w:lvlJc w:val="left"/>
      <w:pPr>
        <w:ind w:left="5040" w:hanging="360"/>
      </w:pPr>
      <w:rPr>
        <w:rFonts w:ascii="Symbol" w:hAnsi="Symbol" w:hint="default"/>
      </w:rPr>
    </w:lvl>
    <w:lvl w:ilvl="7" w:tplc="3148FA04">
      <w:start w:val="1"/>
      <w:numFmt w:val="bullet"/>
      <w:lvlText w:val="o"/>
      <w:lvlJc w:val="left"/>
      <w:pPr>
        <w:ind w:left="5760" w:hanging="360"/>
      </w:pPr>
      <w:rPr>
        <w:rFonts w:ascii="Courier New" w:hAnsi="Courier New" w:hint="default"/>
      </w:rPr>
    </w:lvl>
    <w:lvl w:ilvl="8" w:tplc="3040546A">
      <w:start w:val="1"/>
      <w:numFmt w:val="bullet"/>
      <w:lvlText w:val=""/>
      <w:lvlJc w:val="left"/>
      <w:pPr>
        <w:ind w:left="6480" w:hanging="360"/>
      </w:pPr>
      <w:rPr>
        <w:rFonts w:ascii="Wingdings" w:hAnsi="Wingdings" w:hint="default"/>
      </w:rPr>
    </w:lvl>
  </w:abstractNum>
  <w:abstractNum w:abstractNumId="4" w15:restartNumberingAfterBreak="0">
    <w:nsid w:val="51B26025"/>
    <w:multiLevelType w:val="hybridMultilevel"/>
    <w:tmpl w:val="E0E8CACC"/>
    <w:lvl w:ilvl="0" w:tplc="040C000B">
      <w:start w:val="1"/>
      <w:numFmt w:val="bullet"/>
      <w:lvlText w:val=""/>
      <w:lvlJc w:val="left"/>
      <w:pPr>
        <w:ind w:left="720" w:hanging="360"/>
      </w:pPr>
      <w:rPr>
        <w:rFonts w:ascii="Wingdings" w:hAnsi="Wingdings" w:hint="default"/>
      </w:rPr>
    </w:lvl>
    <w:lvl w:ilvl="1" w:tplc="74DC7F12">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49CD97"/>
    <w:multiLevelType w:val="hybridMultilevel"/>
    <w:tmpl w:val="B1B87B80"/>
    <w:lvl w:ilvl="0" w:tplc="553658D2">
      <w:start w:val="1"/>
      <w:numFmt w:val="bullet"/>
      <w:lvlText w:val="-"/>
      <w:lvlJc w:val="left"/>
      <w:pPr>
        <w:ind w:left="720" w:hanging="360"/>
      </w:pPr>
      <w:rPr>
        <w:rFonts w:ascii="Aptos" w:hAnsi="Aptos" w:hint="default"/>
      </w:rPr>
    </w:lvl>
    <w:lvl w:ilvl="1" w:tplc="CD48FD86">
      <w:start w:val="1"/>
      <w:numFmt w:val="bullet"/>
      <w:lvlText w:val="o"/>
      <w:lvlJc w:val="left"/>
      <w:pPr>
        <w:ind w:left="1440" w:hanging="360"/>
      </w:pPr>
      <w:rPr>
        <w:rFonts w:ascii="Courier New" w:hAnsi="Courier New" w:hint="default"/>
      </w:rPr>
    </w:lvl>
    <w:lvl w:ilvl="2" w:tplc="8AAE9FA6">
      <w:start w:val="1"/>
      <w:numFmt w:val="bullet"/>
      <w:lvlText w:val=""/>
      <w:lvlJc w:val="left"/>
      <w:pPr>
        <w:ind w:left="2160" w:hanging="360"/>
      </w:pPr>
      <w:rPr>
        <w:rFonts w:ascii="Wingdings" w:hAnsi="Wingdings" w:hint="default"/>
      </w:rPr>
    </w:lvl>
    <w:lvl w:ilvl="3" w:tplc="47DE6724">
      <w:start w:val="1"/>
      <w:numFmt w:val="bullet"/>
      <w:lvlText w:val=""/>
      <w:lvlJc w:val="left"/>
      <w:pPr>
        <w:ind w:left="2880" w:hanging="360"/>
      </w:pPr>
      <w:rPr>
        <w:rFonts w:ascii="Symbol" w:hAnsi="Symbol" w:hint="default"/>
      </w:rPr>
    </w:lvl>
    <w:lvl w:ilvl="4" w:tplc="70BA03F8">
      <w:start w:val="1"/>
      <w:numFmt w:val="bullet"/>
      <w:lvlText w:val="o"/>
      <w:lvlJc w:val="left"/>
      <w:pPr>
        <w:ind w:left="3600" w:hanging="360"/>
      </w:pPr>
      <w:rPr>
        <w:rFonts w:ascii="Courier New" w:hAnsi="Courier New" w:hint="default"/>
      </w:rPr>
    </w:lvl>
    <w:lvl w:ilvl="5" w:tplc="877AF594">
      <w:start w:val="1"/>
      <w:numFmt w:val="bullet"/>
      <w:lvlText w:val=""/>
      <w:lvlJc w:val="left"/>
      <w:pPr>
        <w:ind w:left="4320" w:hanging="360"/>
      </w:pPr>
      <w:rPr>
        <w:rFonts w:ascii="Wingdings" w:hAnsi="Wingdings" w:hint="default"/>
      </w:rPr>
    </w:lvl>
    <w:lvl w:ilvl="6" w:tplc="B7C21C7A">
      <w:start w:val="1"/>
      <w:numFmt w:val="bullet"/>
      <w:lvlText w:val=""/>
      <w:lvlJc w:val="left"/>
      <w:pPr>
        <w:ind w:left="5040" w:hanging="360"/>
      </w:pPr>
      <w:rPr>
        <w:rFonts w:ascii="Symbol" w:hAnsi="Symbol" w:hint="default"/>
      </w:rPr>
    </w:lvl>
    <w:lvl w:ilvl="7" w:tplc="FB325220">
      <w:start w:val="1"/>
      <w:numFmt w:val="bullet"/>
      <w:lvlText w:val="o"/>
      <w:lvlJc w:val="left"/>
      <w:pPr>
        <w:ind w:left="5760" w:hanging="360"/>
      </w:pPr>
      <w:rPr>
        <w:rFonts w:ascii="Courier New" w:hAnsi="Courier New" w:hint="default"/>
      </w:rPr>
    </w:lvl>
    <w:lvl w:ilvl="8" w:tplc="EC96DFB0">
      <w:start w:val="1"/>
      <w:numFmt w:val="bullet"/>
      <w:lvlText w:val=""/>
      <w:lvlJc w:val="left"/>
      <w:pPr>
        <w:ind w:left="6480" w:hanging="360"/>
      </w:pPr>
      <w:rPr>
        <w:rFonts w:ascii="Wingdings" w:hAnsi="Wingdings" w:hint="default"/>
      </w:rPr>
    </w:lvl>
  </w:abstractNum>
  <w:abstractNum w:abstractNumId="6" w15:restartNumberingAfterBreak="0">
    <w:nsid w:val="59EA389E"/>
    <w:multiLevelType w:val="hybridMultilevel"/>
    <w:tmpl w:val="97DC742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C374837"/>
    <w:multiLevelType w:val="hybridMultilevel"/>
    <w:tmpl w:val="633A0852"/>
    <w:lvl w:ilvl="0" w:tplc="040C0001">
      <w:start w:val="1"/>
      <w:numFmt w:val="bullet"/>
      <w:lvlText w:val=""/>
      <w:lvlJc w:val="left"/>
      <w:pPr>
        <w:ind w:left="780" w:hanging="360"/>
      </w:pPr>
      <w:rPr>
        <w:rFonts w:ascii="Symbol" w:hAnsi="Symbol" w:hint="default"/>
      </w:rPr>
    </w:lvl>
    <w:lvl w:ilvl="1" w:tplc="762E25AE">
      <w:numFmt w:val="bullet"/>
      <w:lvlText w:val=""/>
      <w:lvlJc w:val="left"/>
      <w:pPr>
        <w:ind w:left="1500" w:hanging="360"/>
      </w:pPr>
      <w:rPr>
        <w:rFonts w:ascii="Wingdings" w:eastAsiaTheme="minorHAnsi" w:hAnsi="Wingdings" w:cstheme="minorBidi"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1227379557">
    <w:abstractNumId w:val="3"/>
  </w:num>
  <w:num w:numId="2" w16cid:durableId="988511271">
    <w:abstractNumId w:val="5"/>
  </w:num>
  <w:num w:numId="3" w16cid:durableId="1687244834">
    <w:abstractNumId w:val="6"/>
  </w:num>
  <w:num w:numId="4" w16cid:durableId="2061711782">
    <w:abstractNumId w:val="1"/>
  </w:num>
  <w:num w:numId="5" w16cid:durableId="1264991407">
    <w:abstractNumId w:val="2"/>
  </w:num>
  <w:num w:numId="6" w16cid:durableId="1613437590">
    <w:abstractNumId w:val="7"/>
  </w:num>
  <w:num w:numId="7" w16cid:durableId="2050759416">
    <w:abstractNumId w:val="4"/>
  </w:num>
  <w:num w:numId="8" w16cid:durableId="1551265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53F204"/>
    <w:rsid w:val="001621F1"/>
    <w:rsid w:val="00184127"/>
    <w:rsid w:val="001C7681"/>
    <w:rsid w:val="00365CE5"/>
    <w:rsid w:val="003A7978"/>
    <w:rsid w:val="003D67B5"/>
    <w:rsid w:val="004C2EF4"/>
    <w:rsid w:val="004D084C"/>
    <w:rsid w:val="004F1371"/>
    <w:rsid w:val="00514967"/>
    <w:rsid w:val="00541973"/>
    <w:rsid w:val="0056365B"/>
    <w:rsid w:val="005C1895"/>
    <w:rsid w:val="005D5DF7"/>
    <w:rsid w:val="006076D8"/>
    <w:rsid w:val="00632ECE"/>
    <w:rsid w:val="00724C29"/>
    <w:rsid w:val="007568F8"/>
    <w:rsid w:val="00770986"/>
    <w:rsid w:val="00783761"/>
    <w:rsid w:val="007E21C3"/>
    <w:rsid w:val="00824384"/>
    <w:rsid w:val="00861AD9"/>
    <w:rsid w:val="008901AC"/>
    <w:rsid w:val="00A05281"/>
    <w:rsid w:val="00A469A6"/>
    <w:rsid w:val="00AC7E34"/>
    <w:rsid w:val="00AF54B6"/>
    <w:rsid w:val="00B23A30"/>
    <w:rsid w:val="00B62D12"/>
    <w:rsid w:val="00C058C9"/>
    <w:rsid w:val="00CD2042"/>
    <w:rsid w:val="00D15889"/>
    <w:rsid w:val="00D20D3D"/>
    <w:rsid w:val="00DB17EF"/>
    <w:rsid w:val="00E75D8E"/>
    <w:rsid w:val="00F44C2F"/>
    <w:rsid w:val="00FA3629"/>
    <w:rsid w:val="01D66B0C"/>
    <w:rsid w:val="0253F204"/>
    <w:rsid w:val="030AE658"/>
    <w:rsid w:val="03D9972A"/>
    <w:rsid w:val="03F6D9CC"/>
    <w:rsid w:val="0400078D"/>
    <w:rsid w:val="061B94A6"/>
    <w:rsid w:val="064615EC"/>
    <w:rsid w:val="066E27F9"/>
    <w:rsid w:val="067DAF28"/>
    <w:rsid w:val="071028CD"/>
    <w:rsid w:val="08FFEF5F"/>
    <w:rsid w:val="0976F462"/>
    <w:rsid w:val="0AFCA064"/>
    <w:rsid w:val="0B666B57"/>
    <w:rsid w:val="0DA11B0D"/>
    <w:rsid w:val="0EF348F6"/>
    <w:rsid w:val="0FE9170D"/>
    <w:rsid w:val="10A4E130"/>
    <w:rsid w:val="11AFB246"/>
    <w:rsid w:val="12D036DB"/>
    <w:rsid w:val="1386A712"/>
    <w:rsid w:val="1390CD67"/>
    <w:rsid w:val="14239F20"/>
    <w:rsid w:val="14A1D6F3"/>
    <w:rsid w:val="15121386"/>
    <w:rsid w:val="1550D8D4"/>
    <w:rsid w:val="163045D1"/>
    <w:rsid w:val="163D9376"/>
    <w:rsid w:val="165DD8B3"/>
    <w:rsid w:val="16F43A96"/>
    <w:rsid w:val="17396BDE"/>
    <w:rsid w:val="1754CD03"/>
    <w:rsid w:val="17DFB023"/>
    <w:rsid w:val="17E74D4A"/>
    <w:rsid w:val="19AE0552"/>
    <w:rsid w:val="19D272DE"/>
    <w:rsid w:val="1A87CF1A"/>
    <w:rsid w:val="1AEADF4B"/>
    <w:rsid w:val="1CDCD9EB"/>
    <w:rsid w:val="1D141050"/>
    <w:rsid w:val="1DA9282A"/>
    <w:rsid w:val="1E4515FF"/>
    <w:rsid w:val="1EF4BC62"/>
    <w:rsid w:val="1F03B226"/>
    <w:rsid w:val="1F9135C9"/>
    <w:rsid w:val="2028E0AD"/>
    <w:rsid w:val="2108A1B2"/>
    <w:rsid w:val="2128D7A7"/>
    <w:rsid w:val="2183AD93"/>
    <w:rsid w:val="229AE38D"/>
    <w:rsid w:val="22AAC958"/>
    <w:rsid w:val="22FF834D"/>
    <w:rsid w:val="2508F4BD"/>
    <w:rsid w:val="258C625F"/>
    <w:rsid w:val="26812B87"/>
    <w:rsid w:val="27ECAC6F"/>
    <w:rsid w:val="281E6EA8"/>
    <w:rsid w:val="2915199C"/>
    <w:rsid w:val="2A6AAF7B"/>
    <w:rsid w:val="2AA1DAFC"/>
    <w:rsid w:val="2C1A4E1A"/>
    <w:rsid w:val="2C3BBDB8"/>
    <w:rsid w:val="2C9097E8"/>
    <w:rsid w:val="2D5C328F"/>
    <w:rsid w:val="2FA03403"/>
    <w:rsid w:val="2FA214B9"/>
    <w:rsid w:val="2FBECACC"/>
    <w:rsid w:val="31546512"/>
    <w:rsid w:val="31B4538C"/>
    <w:rsid w:val="32CE8CEB"/>
    <w:rsid w:val="32D5616A"/>
    <w:rsid w:val="333534BC"/>
    <w:rsid w:val="33A64498"/>
    <w:rsid w:val="340D46AF"/>
    <w:rsid w:val="35695996"/>
    <w:rsid w:val="35F594FE"/>
    <w:rsid w:val="37B2C007"/>
    <w:rsid w:val="381C902C"/>
    <w:rsid w:val="39117794"/>
    <w:rsid w:val="391FED91"/>
    <w:rsid w:val="3960595E"/>
    <w:rsid w:val="3A86074F"/>
    <w:rsid w:val="3B00183B"/>
    <w:rsid w:val="3B05AF86"/>
    <w:rsid w:val="3B41B22B"/>
    <w:rsid w:val="3B7E7841"/>
    <w:rsid w:val="3BB7ABF9"/>
    <w:rsid w:val="3BFA4A73"/>
    <w:rsid w:val="3C75C5CF"/>
    <w:rsid w:val="3DF4E513"/>
    <w:rsid w:val="3E337503"/>
    <w:rsid w:val="3F7FA94E"/>
    <w:rsid w:val="40145757"/>
    <w:rsid w:val="4016AC78"/>
    <w:rsid w:val="404196B0"/>
    <w:rsid w:val="41C7D672"/>
    <w:rsid w:val="423EC121"/>
    <w:rsid w:val="4353D05C"/>
    <w:rsid w:val="43F3A547"/>
    <w:rsid w:val="43FF0B9D"/>
    <w:rsid w:val="46B104FC"/>
    <w:rsid w:val="4738A136"/>
    <w:rsid w:val="47C34BED"/>
    <w:rsid w:val="47DA24A1"/>
    <w:rsid w:val="47DE276A"/>
    <w:rsid w:val="48CCB56D"/>
    <w:rsid w:val="48CE764A"/>
    <w:rsid w:val="4903225E"/>
    <w:rsid w:val="4AC051DC"/>
    <w:rsid w:val="4BF264E9"/>
    <w:rsid w:val="4C23AB3D"/>
    <w:rsid w:val="4CBAEB47"/>
    <w:rsid w:val="4EC962AB"/>
    <w:rsid w:val="4F5B0B36"/>
    <w:rsid w:val="4F8961AC"/>
    <w:rsid w:val="4F935A4C"/>
    <w:rsid w:val="4FD5D2A5"/>
    <w:rsid w:val="4FD9F501"/>
    <w:rsid w:val="503E991B"/>
    <w:rsid w:val="517887FC"/>
    <w:rsid w:val="538FF4D6"/>
    <w:rsid w:val="5413BE89"/>
    <w:rsid w:val="5464EA25"/>
    <w:rsid w:val="56702794"/>
    <w:rsid w:val="56A3B19F"/>
    <w:rsid w:val="5768DC28"/>
    <w:rsid w:val="5791EB1E"/>
    <w:rsid w:val="57A0AEF5"/>
    <w:rsid w:val="58399A3F"/>
    <w:rsid w:val="59045907"/>
    <w:rsid w:val="591BF115"/>
    <w:rsid w:val="5A2DF590"/>
    <w:rsid w:val="5AE52205"/>
    <w:rsid w:val="5B12D88A"/>
    <w:rsid w:val="5C6AA88A"/>
    <w:rsid w:val="5D2CFF01"/>
    <w:rsid w:val="5E2C05E1"/>
    <w:rsid w:val="5E61D939"/>
    <w:rsid w:val="5F2F6D29"/>
    <w:rsid w:val="60AF8752"/>
    <w:rsid w:val="62900FA8"/>
    <w:rsid w:val="62AE03DA"/>
    <w:rsid w:val="63B65BDF"/>
    <w:rsid w:val="63E3DD93"/>
    <w:rsid w:val="63E68BD0"/>
    <w:rsid w:val="645C18E4"/>
    <w:rsid w:val="6592DA7A"/>
    <w:rsid w:val="660E9E19"/>
    <w:rsid w:val="6685F118"/>
    <w:rsid w:val="685E721B"/>
    <w:rsid w:val="6B1CEE98"/>
    <w:rsid w:val="6CDF54BF"/>
    <w:rsid w:val="6E289DA1"/>
    <w:rsid w:val="6E2A9539"/>
    <w:rsid w:val="6F4773A2"/>
    <w:rsid w:val="7028C7B9"/>
    <w:rsid w:val="7284EFF8"/>
    <w:rsid w:val="72A2C83A"/>
    <w:rsid w:val="72BEADB5"/>
    <w:rsid w:val="73522E76"/>
    <w:rsid w:val="7458601C"/>
    <w:rsid w:val="75A33EFF"/>
    <w:rsid w:val="7620D448"/>
    <w:rsid w:val="77661B74"/>
    <w:rsid w:val="777E5BA0"/>
    <w:rsid w:val="77D0576C"/>
    <w:rsid w:val="784CD14D"/>
    <w:rsid w:val="7903AF8C"/>
    <w:rsid w:val="798820C4"/>
    <w:rsid w:val="7A8AD397"/>
    <w:rsid w:val="7AAE19F7"/>
    <w:rsid w:val="7B2B56A1"/>
    <w:rsid w:val="7B312E79"/>
    <w:rsid w:val="7D0567BC"/>
    <w:rsid w:val="7D38C7A9"/>
    <w:rsid w:val="7FFAF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F204"/>
  <w15:chartTrackingRefBased/>
  <w15:docId w15:val="{CBAC6C90-4452-447F-B540-8C88387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57A0A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uiPriority w:val="99"/>
    <w:semiHidden/>
    <w:unhideWhenUsed/>
    <w:rsid w:val="57A0AEF5"/>
    <w:pPr>
      <w:spacing w:after="0" w:line="240" w:lineRule="auto"/>
    </w:pPr>
    <w:rPr>
      <w:sz w:val="20"/>
      <w:szCs w:val="20"/>
    </w:rPr>
  </w:style>
  <w:style w:type="character" w:styleId="Appelnotedebasdep">
    <w:name w:val="footnote reference"/>
    <w:basedOn w:val="Policepardfaut"/>
    <w:uiPriority w:val="99"/>
    <w:semiHidden/>
    <w:unhideWhenUsed/>
    <w:rsid w:val="57A0AEF5"/>
    <w:rPr>
      <w:vertAlign w:val="superscript"/>
    </w:rPr>
  </w:style>
  <w:style w:type="paragraph" w:styleId="En-tte">
    <w:name w:val="header"/>
    <w:basedOn w:val="Normal"/>
    <w:uiPriority w:val="99"/>
    <w:unhideWhenUsed/>
    <w:rsid w:val="57A0AEF5"/>
    <w:pPr>
      <w:tabs>
        <w:tab w:val="center" w:pos="4680"/>
        <w:tab w:val="right" w:pos="9360"/>
      </w:tabs>
      <w:spacing w:after="0" w:line="240" w:lineRule="auto"/>
    </w:pPr>
  </w:style>
  <w:style w:type="paragraph" w:styleId="Pieddepage">
    <w:name w:val="footer"/>
    <w:basedOn w:val="Normal"/>
    <w:link w:val="PieddepageCar"/>
    <w:uiPriority w:val="99"/>
    <w:unhideWhenUsed/>
    <w:rsid w:val="57A0AEF5"/>
    <w:pPr>
      <w:tabs>
        <w:tab w:val="center" w:pos="4680"/>
        <w:tab w:val="right" w:pos="9360"/>
      </w:tabs>
      <w:spacing w:after="0" w:line="240" w:lineRule="auto"/>
    </w:pPr>
  </w:style>
  <w:style w:type="paragraph" w:styleId="Paragraphedeliste">
    <w:name w:val="List Paragraph"/>
    <w:basedOn w:val="Normal"/>
    <w:uiPriority w:val="34"/>
    <w:qFormat/>
    <w:rsid w:val="57A0AEF5"/>
    <w:pPr>
      <w:ind w:left="720"/>
      <w:contextualSpacing/>
    </w:pPr>
  </w:style>
  <w:style w:type="character" w:styleId="Lienhypertexte">
    <w:name w:val="Hyperlink"/>
    <w:basedOn w:val="Policepardfaut"/>
    <w:uiPriority w:val="99"/>
    <w:unhideWhenUsed/>
    <w:rsid w:val="57A0AEF5"/>
    <w:rPr>
      <w:color w:val="467886"/>
      <w:u w:val="single"/>
    </w:rPr>
  </w:style>
  <w:style w:type="paragraph" w:styleId="Sansinterligne">
    <w:name w:val="No Spacing"/>
    <w:uiPriority w:val="1"/>
    <w:qFormat/>
    <w:rsid w:val="57A0AEF5"/>
    <w:pPr>
      <w:spacing w:after="0"/>
    </w:pPr>
  </w:style>
  <w:style w:type="table" w:styleId="Grilledutableau">
    <w:name w:val="Table Grid"/>
    <w:basedOn w:val="Tableau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depageCar">
    <w:name w:val="Pied de page Car"/>
    <w:basedOn w:val="Policepardfaut"/>
    <w:link w:val="Pieddepage"/>
    <w:uiPriority w:val="99"/>
    <w:rsid w:val="003A7978"/>
  </w:style>
  <w:style w:type="character" w:styleId="Mentionnonrsolue">
    <w:name w:val="Unresolved Mention"/>
    <w:basedOn w:val="Policepardfaut"/>
    <w:uiPriority w:val="99"/>
    <w:semiHidden/>
    <w:unhideWhenUsed/>
    <w:rsid w:val="00632ECE"/>
    <w:rPr>
      <w:color w:val="605E5C"/>
      <w:shd w:val="clear" w:color="auto" w:fill="E1DFDD"/>
    </w:rPr>
  </w:style>
  <w:style w:type="character" w:styleId="Lienhypertextesuivivisit">
    <w:name w:val="FollowedHyperlink"/>
    <w:basedOn w:val="Policepardfaut"/>
    <w:uiPriority w:val="99"/>
    <w:semiHidden/>
    <w:unhideWhenUsed/>
    <w:rsid w:val="00E75D8E"/>
    <w:rPr>
      <w:color w:val="96607D" w:themeColor="followedHyperlink"/>
      <w:u w:val="single"/>
    </w:rPr>
  </w:style>
  <w:style w:type="paragraph" w:customStyle="1" w:styleId="paragraph">
    <w:name w:val="paragraph"/>
    <w:basedOn w:val="Normal"/>
    <w:rsid w:val="00D15889"/>
    <w:pPr>
      <w:spacing w:before="100" w:beforeAutospacing="1" w:after="100" w:afterAutospacing="1" w:line="240" w:lineRule="auto"/>
    </w:pPr>
    <w:rPr>
      <w:rFonts w:ascii="Calibri" w:hAnsi="Calibri" w:cs="Calibri"/>
      <w:sz w:val="22"/>
      <w:szCs w:val="22"/>
      <w:lang w:eastAsia="fr-FR"/>
    </w:rPr>
  </w:style>
  <w:style w:type="character" w:customStyle="1" w:styleId="normaltextrun">
    <w:name w:val="normaltextrun"/>
    <w:basedOn w:val="Policepardfaut"/>
    <w:rsid w:val="00D15889"/>
  </w:style>
  <w:style w:type="character" w:customStyle="1" w:styleId="eop">
    <w:name w:val="eop"/>
    <w:basedOn w:val="Policepardfaut"/>
    <w:rsid w:val="00D15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talenergies.com/fr/groupe/expertise-energies/transformation-valorisation/raffinage-petrochimie"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talenergies.fr"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transparency-france.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loda/article_lc/LEGIARTI000035588426" TargetMode="External"/><Relationship Id="rId2" Type="http://schemas.openxmlformats.org/officeDocument/2006/relationships/hyperlink" Target="https://web.archive.org/web/20240503085349/https://www.hatvp.fr/fiche-organisation/?organisation=542051180" TargetMode="External"/><Relationship Id="rId1" Type="http://schemas.openxmlformats.org/officeDocument/2006/relationships/hyperlink" Target="https://www.hatvp.fr/wordpress/wp-content/uploads/2024/06/2024-88-Transparency-International-France.pdf" TargetMode="External"/><Relationship Id="rId5" Type="http://schemas.openxmlformats.org/officeDocument/2006/relationships/hyperlink" Target="https://www.totalenergies.fr/fileadmin/Digital/Documents-contractuels/Dispositif.pdf" TargetMode="External"/><Relationship Id="rId4" Type="http://schemas.openxmlformats.org/officeDocument/2006/relationships/hyperlink" Target="https://www.courdecassation.fr/decision/68ff2f777e08341cb497a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5e66408e-7cb2-40b5-9ee7-0dd8435032cb" xsi:nil="true"/>
    <_ip_UnifiedCompliancePolicyProperties xmlns="http://schemas.microsoft.com/sharepoint/v3" xsi:nil="true"/>
    <lcf76f155ced4ddcb4097134ff3c332f xmlns="5e66408e-7cb2-40b5-9ee7-0dd8435032cb">
      <Terms xmlns="http://schemas.microsoft.com/office/infopath/2007/PartnerControls"/>
    </lcf76f155ced4ddcb4097134ff3c332f>
    <TaxCatchAll xmlns="83e95a3d-d3e3-4ab9-adc5-9b5c6d1406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8523AF85F836448AC9FC4A9A37EC6C" ma:contentTypeVersion="22" ma:contentTypeDescription="Create a new document." ma:contentTypeScope="" ma:versionID="2c6c20a3bff348ef0e2ed34e9f527f4d">
  <xsd:schema xmlns:xsd="http://www.w3.org/2001/XMLSchema" xmlns:xs="http://www.w3.org/2001/XMLSchema" xmlns:p="http://schemas.microsoft.com/office/2006/metadata/properties" xmlns:ns1="http://schemas.microsoft.com/sharepoint/v3" xmlns:ns2="5e66408e-7cb2-40b5-9ee7-0dd8435032cb" xmlns:ns3="83e95a3d-d3e3-4ab9-adc5-9b5c6d140667" targetNamespace="http://schemas.microsoft.com/office/2006/metadata/properties" ma:root="true" ma:fieldsID="893320299b3f3447a0b91ed502742a45" ns1:_="" ns2:_="" ns3:_="">
    <xsd:import namespace="http://schemas.microsoft.com/sharepoint/v3"/>
    <xsd:import namespace="5e66408e-7cb2-40b5-9ee7-0dd8435032cb"/>
    <xsd:import namespace="83e95a3d-d3e3-4ab9-adc5-9b5c6d1406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6408e-7cb2-40b5-9ee7-0dd843503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d85dcc-d5fa-408e-a42f-cb98906050e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95a3d-d3e3-4ab9-adc5-9b5c6d1406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d8ee29-17e3-42c8-9049-bc3ed43d493c}" ma:internalName="TaxCatchAll" ma:showField="CatchAllData" ma:web="83e95a3d-d3e3-4ab9-adc5-9b5c6d140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B4F75-08C1-4720-8F24-C6F3858F0A17}">
  <ds:schemaRefs>
    <ds:schemaRef ds:uri="http://schemas.openxmlformats.org/officeDocument/2006/bibliography"/>
  </ds:schemaRefs>
</ds:datastoreItem>
</file>

<file path=customXml/itemProps2.xml><?xml version="1.0" encoding="utf-8"?>
<ds:datastoreItem xmlns:ds="http://schemas.openxmlformats.org/officeDocument/2006/customXml" ds:itemID="{DE549847-8E15-4CCB-A19A-06675238282D}">
  <ds:schemaRefs>
    <ds:schemaRef ds:uri="http://schemas.microsoft.com/sharepoint/v3/contenttype/forms"/>
  </ds:schemaRefs>
</ds:datastoreItem>
</file>

<file path=customXml/itemProps3.xml><?xml version="1.0" encoding="utf-8"?>
<ds:datastoreItem xmlns:ds="http://schemas.openxmlformats.org/officeDocument/2006/customXml" ds:itemID="{80B4773F-B39C-4D80-A15C-5A8A2C7D299E}">
  <ds:schemaRefs>
    <ds:schemaRef ds:uri="http://schemas.microsoft.com/office/2006/metadata/properties"/>
    <ds:schemaRef ds:uri="http://schemas.microsoft.com/office/infopath/2007/PartnerControls"/>
    <ds:schemaRef ds:uri="http://schemas.microsoft.com/sharepoint/v3"/>
    <ds:schemaRef ds:uri="5e66408e-7cb2-40b5-9ee7-0dd8435032cb"/>
    <ds:schemaRef ds:uri="83e95a3d-d3e3-4ab9-adc5-9b5c6d140667"/>
  </ds:schemaRefs>
</ds:datastoreItem>
</file>

<file path=customXml/itemProps4.xml><?xml version="1.0" encoding="utf-8"?>
<ds:datastoreItem xmlns:ds="http://schemas.openxmlformats.org/officeDocument/2006/customXml" ds:itemID="{9C4040E6-0351-4C49-9FF7-1C015CC00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66408e-7cb2-40b5-9ee7-0dd8435032cb"/>
    <ds:schemaRef ds:uri="83e95a3d-d3e3-4ab9-adc5-9b5c6d140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3548</Words>
  <Characters>19516</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Gernier (TI FR)</dc:creator>
  <cp:keywords/>
  <dc:description/>
  <cp:lastModifiedBy>Kevin Gernier (TI FR)</cp:lastModifiedBy>
  <cp:revision>16</cp:revision>
  <dcterms:created xsi:type="dcterms:W3CDTF">2026-05-06T20:30:00Z</dcterms:created>
  <dcterms:modified xsi:type="dcterms:W3CDTF">2026-05-28T16:38:00Z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0x010100B88523AF85F836448AC9FC4A9A37EC6C</vt:lpwstr>
  </property>
  <property fmtid="{D5CDD505-2E9C-101B-9397-08002B2CF9AE}" pid="3" name="MediaServiceImageTags">
    <vt:lpwstr/>
  </property>
</Properties>
</file>