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66EE5" w:rsidRDefault="00966EE5"/>
    <w:tbl>
      <w:tblPr>
        <w:tblStyle w:val="a"/>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66EE5" w14:paraId="198CA726" w14:textId="77777777" w:rsidTr="59784E90">
        <w:tc>
          <w:tcPr>
            <w:tcW w:w="9029" w:type="dxa"/>
            <w:shd w:val="clear" w:color="auto" w:fill="auto"/>
            <w:tcMar>
              <w:top w:w="100" w:type="dxa"/>
              <w:left w:w="100" w:type="dxa"/>
              <w:bottom w:w="100" w:type="dxa"/>
              <w:right w:w="100" w:type="dxa"/>
            </w:tcMar>
          </w:tcPr>
          <w:p w14:paraId="0A37501D" w14:textId="77777777" w:rsidR="00966EE5" w:rsidRDefault="00966EE5">
            <w:pPr>
              <w:widowControl w:val="0"/>
              <w:spacing w:line="240" w:lineRule="auto"/>
              <w:jc w:val="center"/>
              <w:rPr>
                <w:sz w:val="20"/>
                <w:szCs w:val="20"/>
              </w:rPr>
            </w:pPr>
          </w:p>
          <w:p w14:paraId="29703508" w14:textId="17992AB8" w:rsidR="7DA6B045" w:rsidRDefault="7DA6B045" w:rsidP="59784E90">
            <w:pPr>
              <w:widowControl w:val="0"/>
              <w:spacing w:line="240" w:lineRule="auto"/>
              <w:jc w:val="center"/>
            </w:pPr>
            <w:r w:rsidRPr="59784E90">
              <w:rPr>
                <w:sz w:val="40"/>
                <w:szCs w:val="40"/>
              </w:rPr>
              <w:t xml:space="preserve">Liasse d’amendements suggérés par </w:t>
            </w:r>
            <w:proofErr w:type="spellStart"/>
            <w:r w:rsidRPr="59784E90">
              <w:rPr>
                <w:sz w:val="40"/>
                <w:szCs w:val="40"/>
              </w:rPr>
              <w:t>Transparency</w:t>
            </w:r>
            <w:proofErr w:type="spellEnd"/>
            <w:r w:rsidRPr="59784E90">
              <w:rPr>
                <w:sz w:val="40"/>
                <w:szCs w:val="40"/>
              </w:rPr>
              <w:t xml:space="preserve"> International France sur le </w:t>
            </w:r>
            <w:r w:rsidR="00A375EC">
              <w:rPr>
                <w:sz w:val="40"/>
                <w:szCs w:val="40"/>
              </w:rPr>
              <w:t xml:space="preserve">PJL </w:t>
            </w:r>
            <w:r w:rsidRPr="59784E90">
              <w:rPr>
                <w:sz w:val="40"/>
                <w:szCs w:val="40"/>
              </w:rPr>
              <w:t>simplification de la vie économique</w:t>
            </w:r>
          </w:p>
          <w:p w14:paraId="5DAB6C7B" w14:textId="77777777" w:rsidR="00966EE5" w:rsidRDefault="00966EE5">
            <w:pPr>
              <w:widowControl w:val="0"/>
              <w:spacing w:line="240" w:lineRule="auto"/>
              <w:jc w:val="center"/>
              <w:rPr>
                <w:sz w:val="20"/>
                <w:szCs w:val="20"/>
              </w:rPr>
            </w:pPr>
          </w:p>
        </w:tc>
      </w:tr>
    </w:tbl>
    <w:p w14:paraId="6A05A809" w14:textId="26C94286" w:rsidR="00966EE5" w:rsidRDefault="00966EE5" w:rsidP="59784E90"/>
    <w:p w14:paraId="6570CB14" w14:textId="5A7A88C3" w:rsidR="00966EE5" w:rsidRDefault="0095398C">
      <w:pPr>
        <w:jc w:val="center"/>
        <w:rPr>
          <w:color w:val="3695D9"/>
          <w:sz w:val="30"/>
          <w:szCs w:val="30"/>
        </w:rPr>
      </w:pPr>
      <w:r w:rsidRPr="59784E90">
        <w:rPr>
          <w:color w:val="3695D9"/>
          <w:sz w:val="30"/>
          <w:szCs w:val="30"/>
        </w:rPr>
        <w:t xml:space="preserve">Proposition n° 1 : Rendre obligatoire pour les </w:t>
      </w:r>
      <w:r w:rsidR="086E808B" w:rsidRPr="59784E90">
        <w:rPr>
          <w:color w:val="3695D9"/>
          <w:sz w:val="30"/>
          <w:szCs w:val="30"/>
        </w:rPr>
        <w:t xml:space="preserve">représentants d’intérêts </w:t>
      </w:r>
      <w:r w:rsidRPr="59784E90">
        <w:rPr>
          <w:color w:val="3695D9"/>
          <w:sz w:val="30"/>
          <w:szCs w:val="30"/>
        </w:rPr>
        <w:t xml:space="preserve">la déclaration </w:t>
      </w:r>
      <w:r w:rsidR="71EE709B" w:rsidRPr="59784E90">
        <w:rPr>
          <w:color w:val="3695D9"/>
          <w:sz w:val="30"/>
          <w:szCs w:val="30"/>
        </w:rPr>
        <w:t>exact</w:t>
      </w:r>
      <w:r w:rsidRPr="59784E90">
        <w:rPr>
          <w:color w:val="3695D9"/>
          <w:sz w:val="30"/>
          <w:szCs w:val="30"/>
        </w:rPr>
        <w:t>e du montant de leurs dépenses</w:t>
      </w:r>
      <w:r w:rsidR="1CB8210D" w:rsidRPr="59784E90">
        <w:rPr>
          <w:color w:val="3695D9"/>
          <w:sz w:val="30"/>
          <w:szCs w:val="30"/>
        </w:rPr>
        <w:t xml:space="preserve"> de lobbying</w:t>
      </w:r>
    </w:p>
    <w:p w14:paraId="5A39BBE3" w14:textId="77777777" w:rsidR="00966EE5" w:rsidRDefault="00966EE5">
      <w:pPr>
        <w:jc w:val="center"/>
        <w:rPr>
          <w:color w:val="3695D9"/>
          <w:sz w:val="30"/>
          <w:szCs w:val="30"/>
        </w:rPr>
      </w:pPr>
    </w:p>
    <w:p w14:paraId="328D9B45" w14:textId="77777777" w:rsidR="00966EE5" w:rsidRDefault="0095398C">
      <w:pPr>
        <w:jc w:val="center"/>
        <w:rPr>
          <w:color w:val="3695D9"/>
          <w:sz w:val="30"/>
          <w:szCs w:val="30"/>
        </w:rPr>
      </w:pPr>
      <w:r>
        <w:rPr>
          <w:b/>
        </w:rPr>
        <w:t>ARTICLE ADDITIONNEL</w:t>
      </w:r>
    </w:p>
    <w:p w14:paraId="41C8F396" w14:textId="77777777" w:rsidR="00966EE5" w:rsidRDefault="00966EE5">
      <w:pPr>
        <w:jc w:val="center"/>
        <w:rPr>
          <w:b/>
        </w:rPr>
      </w:pPr>
    </w:p>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66EE5" w14:paraId="554EBD29" w14:textId="77777777" w:rsidTr="59784E90">
        <w:trPr>
          <w:jc w:val="center"/>
        </w:trPr>
        <w:tc>
          <w:tcPr>
            <w:tcW w:w="9029" w:type="dxa"/>
            <w:shd w:val="clear" w:color="auto" w:fill="auto"/>
            <w:tcMar>
              <w:top w:w="100" w:type="dxa"/>
              <w:left w:w="100" w:type="dxa"/>
              <w:bottom w:w="100" w:type="dxa"/>
              <w:right w:w="100" w:type="dxa"/>
            </w:tcMar>
          </w:tcPr>
          <w:p w14:paraId="71175408" w14:textId="77777777" w:rsidR="00966EE5" w:rsidRDefault="0095398C">
            <w:pPr>
              <w:spacing w:line="240" w:lineRule="auto"/>
            </w:pPr>
            <w:r>
              <w:t>Après l’article 3 bis</w:t>
            </w:r>
          </w:p>
          <w:p w14:paraId="72A3D3EC" w14:textId="77777777" w:rsidR="00966EE5" w:rsidRDefault="00966EE5"/>
          <w:p w14:paraId="7B9F4E2F" w14:textId="77777777" w:rsidR="00966EE5" w:rsidRDefault="0095398C">
            <w:r>
              <w:t>Insérer un article additionnel ainsi rédigé :</w:t>
            </w:r>
          </w:p>
          <w:p w14:paraId="0D0B940D" w14:textId="77777777" w:rsidR="00966EE5" w:rsidRDefault="00966EE5"/>
          <w:p w14:paraId="69C3F1B2" w14:textId="6FBE3684" w:rsidR="00966EE5" w:rsidRDefault="0095398C">
            <w:r>
              <w:t>« La loi n° 2013-907 du 11 octobre 2013 relative à la transparence de la vie publique est ainsi modifiée :</w:t>
            </w:r>
          </w:p>
          <w:p w14:paraId="0E27B00A" w14:textId="77777777" w:rsidR="00966EE5" w:rsidRDefault="00966EE5"/>
          <w:p w14:paraId="3917BADB" w14:textId="29AB47D3" w:rsidR="00966EE5" w:rsidRDefault="0095398C">
            <w:r>
              <w:t>L’article 18-3 est ainsi modifié :</w:t>
            </w:r>
          </w:p>
          <w:p w14:paraId="60061E4C" w14:textId="77777777" w:rsidR="00966EE5" w:rsidRDefault="00966EE5"/>
          <w:p w14:paraId="148DDD1D" w14:textId="1964BCE3" w:rsidR="00966EE5" w:rsidRDefault="0095398C" w:rsidP="59784E90">
            <w:pPr>
              <w:rPr>
                <w:b/>
                <w:bCs/>
              </w:rPr>
            </w:pPr>
            <w:r>
              <w:t>Au 3°, après le mot : « montant », est inséré le mot : « exact ». »</w:t>
            </w:r>
          </w:p>
        </w:tc>
      </w:tr>
    </w:tbl>
    <w:p w14:paraId="44EAFD9C" w14:textId="77777777" w:rsidR="00966EE5" w:rsidRDefault="00966EE5">
      <w:pPr>
        <w:rPr>
          <w:b/>
          <w:color w:val="131314"/>
          <w:sz w:val="21"/>
          <w:szCs w:val="21"/>
          <w:highlight w:val="white"/>
        </w:rPr>
      </w:pPr>
    </w:p>
    <w:p w14:paraId="7194A0D4" w14:textId="77777777" w:rsidR="00966EE5" w:rsidRDefault="0095398C">
      <w:pPr>
        <w:jc w:val="center"/>
        <w:rPr>
          <w:b/>
        </w:rPr>
      </w:pPr>
      <w:r>
        <w:rPr>
          <w:b/>
        </w:rPr>
        <w:t>EXPOSÉ SOMMAIRE</w:t>
      </w:r>
    </w:p>
    <w:p w14:paraId="4B94D5A5" w14:textId="77777777" w:rsidR="00966EE5" w:rsidRDefault="00966EE5" w:rsidP="59784E90">
      <w:pPr>
        <w:jc w:val="both"/>
        <w:rPr>
          <w:b/>
          <w:bCs/>
        </w:rPr>
      </w:pPr>
    </w:p>
    <w:p w14:paraId="744D9B36" w14:textId="21587F79" w:rsidR="00966EE5" w:rsidRDefault="0095398C">
      <w:pPr>
        <w:jc w:val="both"/>
      </w:pPr>
      <w:r>
        <w:t xml:space="preserve">Cet amendement a été suggéré par </w:t>
      </w:r>
      <w:r w:rsidR="7C52F268">
        <w:t xml:space="preserve">l’ONG anti-corruption </w:t>
      </w:r>
      <w:proofErr w:type="spellStart"/>
      <w:r>
        <w:t>Transparency</w:t>
      </w:r>
      <w:proofErr w:type="spellEnd"/>
      <w:r>
        <w:t xml:space="preserve"> International France.</w:t>
      </w:r>
    </w:p>
    <w:p w14:paraId="3DEEC669" w14:textId="77777777" w:rsidR="00966EE5" w:rsidRDefault="00966EE5">
      <w:pPr>
        <w:jc w:val="both"/>
      </w:pPr>
    </w:p>
    <w:p w14:paraId="719AF746" w14:textId="597AA3B6" w:rsidR="00966EE5" w:rsidRDefault="0095398C" w:rsidP="59784E90">
      <w:pPr>
        <w:jc w:val="both"/>
      </w:pPr>
      <w:r>
        <w:t xml:space="preserve">Il vise à renforcer la transparence des </w:t>
      </w:r>
      <w:r w:rsidR="53238D2E">
        <w:t xml:space="preserve">dépenses </w:t>
      </w:r>
      <w:r>
        <w:t xml:space="preserve">de </w:t>
      </w:r>
      <w:r w:rsidR="0BAEE5C7">
        <w:t>lobbying</w:t>
      </w:r>
      <w:r w:rsidR="204BBD8F">
        <w:t>, et à simplifier les obligations déclaratives qui s’appliquent au</w:t>
      </w:r>
      <w:r w:rsidR="00B233CD">
        <w:t>x organisations représentant</w:t>
      </w:r>
      <w:r w:rsidR="273F9D71">
        <w:t>e</w:t>
      </w:r>
      <w:r w:rsidR="00B233CD">
        <w:t>s d’intérêts, qui peuvent être notamment des entreprises.</w:t>
      </w:r>
    </w:p>
    <w:p w14:paraId="5665865E" w14:textId="65B99810" w:rsidR="00966EE5" w:rsidRDefault="00966EE5" w:rsidP="59784E90">
      <w:pPr>
        <w:jc w:val="both"/>
      </w:pPr>
    </w:p>
    <w:p w14:paraId="4757A2FE" w14:textId="358A9505" w:rsidR="00966EE5" w:rsidRDefault="0095398C" w:rsidP="59784E90">
      <w:pPr>
        <w:jc w:val="both"/>
      </w:pPr>
      <w:r>
        <w:t xml:space="preserve">Dans sa version actuelle, la loi n° 2013-907 du 11 octobre 2013 relative à la transparence de la vie publique prévoit </w:t>
      </w:r>
      <w:r w:rsidR="3FB78719">
        <w:t xml:space="preserve">que les organisations qui remplissent les seuils d’obligation d’inscription </w:t>
      </w:r>
      <w:r w:rsidR="06381E6A">
        <w:t xml:space="preserve">au répertoire des représentants d’intérêts de la Haute autorité pour la transparence de la vie publique (HATVP) y déclarent notamment le montant annuel </w:t>
      </w:r>
      <w:r w:rsidR="6D1860C5">
        <w:t>de leurs dépenses liées à des actions de représentation d’intérêts.</w:t>
      </w:r>
    </w:p>
    <w:p w14:paraId="03722B5E" w14:textId="2B3E7F1F" w:rsidR="00966EE5" w:rsidRDefault="00966EE5" w:rsidP="59784E90">
      <w:pPr>
        <w:jc w:val="both"/>
      </w:pPr>
    </w:p>
    <w:p w14:paraId="500E2872" w14:textId="6E8C1559" w:rsidR="00966EE5" w:rsidRDefault="6D1860C5" w:rsidP="59784E90">
      <w:pPr>
        <w:jc w:val="both"/>
      </w:pPr>
      <w:r>
        <w:t>Le décret d’application n° 2017-867 du 9 mai 2017 relatif au répertoire numérique des représentants d'intérêts a comple</w:t>
      </w:r>
      <w:r w:rsidR="1A285BC1">
        <w:t xml:space="preserve">xifié cette obligation en ajoutant un critère qui n’était pas prévu par la loi : la déclaration de ces dépenses </w:t>
      </w:r>
      <w:r w:rsidR="198621DF">
        <w:t xml:space="preserve">doit être réalisée dans des </w:t>
      </w:r>
      <w:r w:rsidR="1A285BC1">
        <w:t>fourchettes</w:t>
      </w:r>
      <w:r w:rsidR="7F48766F">
        <w:t xml:space="preserve"> d’estimation</w:t>
      </w:r>
      <w:r w:rsidR="1A285BC1">
        <w:t xml:space="preserve"> imprécises et non par montant précis.</w:t>
      </w:r>
    </w:p>
    <w:p w14:paraId="3277D37E" w14:textId="53D59A45" w:rsidR="00966EE5" w:rsidRDefault="00966EE5" w:rsidP="59784E90">
      <w:pPr>
        <w:jc w:val="both"/>
      </w:pPr>
    </w:p>
    <w:p w14:paraId="4101652C" w14:textId="05C391BE" w:rsidR="00966EE5" w:rsidRDefault="1A285BC1" w:rsidP="59784E90">
      <w:pPr>
        <w:jc w:val="both"/>
      </w:pPr>
      <w:r>
        <w:t>Cette déclaration par fourchette</w:t>
      </w:r>
      <w:r w:rsidR="459D748E">
        <w:t>s</w:t>
      </w:r>
      <w:r>
        <w:t xml:space="preserve"> limite la capacité de la société civile à mesurer avec précision les moyens financiers consacrés à l’influence de la décision publique. De plus, elle n</w:t>
      </w:r>
      <w:r w:rsidR="4A230EEF">
        <w:t xml:space="preserve">’a pas simplifié les obligations déclaratives puisque dans les faits les représentants d’intérêts doivent d’abord calculer en interne le montant exact des dépenses consacrées à des activités de lobbying, afin de savoir quelle fourchette de dépense déclarer à la HATVP. </w:t>
      </w:r>
    </w:p>
    <w:p w14:paraId="4944DF1F" w14:textId="77777777" w:rsidR="006F4D22" w:rsidRDefault="006F4D22" w:rsidP="59784E90">
      <w:pPr>
        <w:jc w:val="both"/>
      </w:pPr>
    </w:p>
    <w:p w14:paraId="4BA55DFA" w14:textId="17839CE2" w:rsidR="006F4D22" w:rsidRDefault="006F4D22" w:rsidP="59784E90">
      <w:pPr>
        <w:jc w:val="both"/>
      </w:pPr>
      <w:r>
        <w:t>Cet amendement propose donc de supprimer ces déclarations de dépenses de lobbying par fourchettes pour les remplacer par une déclaration exacte du montant dépensé chaque année.</w:t>
      </w:r>
    </w:p>
    <w:p w14:paraId="4B99056E" w14:textId="77777777" w:rsidR="00966EE5" w:rsidRDefault="00966EE5"/>
    <w:p w14:paraId="7F79B459" w14:textId="169C9710" w:rsidR="00966EE5" w:rsidRDefault="00966EE5" w:rsidP="00C72C4B">
      <w:pPr>
        <w:rPr>
          <w:color w:val="3695D9"/>
          <w:sz w:val="30"/>
          <w:szCs w:val="30"/>
        </w:rPr>
      </w:pPr>
    </w:p>
    <w:p w14:paraId="3F8011FC" w14:textId="1788318B" w:rsidR="00966EE5" w:rsidRDefault="00966EE5" w:rsidP="59784E90">
      <w:pPr>
        <w:jc w:val="center"/>
        <w:rPr>
          <w:color w:val="3695D9"/>
          <w:sz w:val="30"/>
          <w:szCs w:val="30"/>
        </w:rPr>
      </w:pPr>
    </w:p>
    <w:p w14:paraId="0330151C" w14:textId="3011CE40" w:rsidR="00966EE5" w:rsidRDefault="00966EE5" w:rsidP="59784E90">
      <w:pPr>
        <w:jc w:val="center"/>
        <w:rPr>
          <w:color w:val="3695D9"/>
          <w:sz w:val="30"/>
          <w:szCs w:val="30"/>
        </w:rPr>
      </w:pPr>
    </w:p>
    <w:p w14:paraId="48D6B7AD" w14:textId="5A204984" w:rsidR="00966EE5" w:rsidRDefault="00966EE5" w:rsidP="59784E90">
      <w:pPr>
        <w:jc w:val="center"/>
        <w:rPr>
          <w:color w:val="3695D9"/>
          <w:sz w:val="30"/>
          <w:szCs w:val="30"/>
        </w:rPr>
      </w:pPr>
    </w:p>
    <w:p w14:paraId="67B2B81F" w14:textId="1FAD4BB8" w:rsidR="00966EE5" w:rsidRDefault="00966EE5" w:rsidP="59784E90">
      <w:pPr>
        <w:jc w:val="center"/>
        <w:rPr>
          <w:color w:val="3695D9"/>
          <w:sz w:val="30"/>
          <w:szCs w:val="30"/>
        </w:rPr>
      </w:pPr>
    </w:p>
    <w:p w14:paraId="70E5EA89" w14:textId="6DDBA86A" w:rsidR="00966EE5" w:rsidRDefault="00966EE5" w:rsidP="59784E90">
      <w:pPr>
        <w:jc w:val="center"/>
        <w:rPr>
          <w:color w:val="3695D9"/>
          <w:sz w:val="30"/>
          <w:szCs w:val="30"/>
        </w:rPr>
      </w:pPr>
    </w:p>
    <w:p w14:paraId="63B6FE8E" w14:textId="38C4CA5E" w:rsidR="00966EE5" w:rsidRDefault="00966EE5" w:rsidP="59784E90">
      <w:pPr>
        <w:jc w:val="center"/>
        <w:rPr>
          <w:color w:val="3695D9"/>
          <w:sz w:val="30"/>
          <w:szCs w:val="30"/>
        </w:rPr>
      </w:pPr>
    </w:p>
    <w:p w14:paraId="64F55C3C" w14:textId="10E5F1D6" w:rsidR="00966EE5" w:rsidRDefault="00966EE5" w:rsidP="59784E90">
      <w:pPr>
        <w:jc w:val="center"/>
        <w:rPr>
          <w:color w:val="3695D9"/>
          <w:sz w:val="30"/>
          <w:szCs w:val="30"/>
        </w:rPr>
      </w:pPr>
    </w:p>
    <w:p w14:paraId="5BFDED73" w14:textId="43851289" w:rsidR="00966EE5" w:rsidRDefault="00966EE5" w:rsidP="59784E90">
      <w:pPr>
        <w:jc w:val="center"/>
        <w:rPr>
          <w:color w:val="3695D9"/>
          <w:sz w:val="30"/>
          <w:szCs w:val="30"/>
        </w:rPr>
      </w:pPr>
    </w:p>
    <w:p w14:paraId="6C7BF355" w14:textId="17CCE212" w:rsidR="00966EE5" w:rsidRDefault="00966EE5" w:rsidP="59784E90">
      <w:pPr>
        <w:jc w:val="center"/>
        <w:rPr>
          <w:color w:val="3695D9"/>
          <w:sz w:val="30"/>
          <w:szCs w:val="30"/>
        </w:rPr>
      </w:pPr>
    </w:p>
    <w:p w14:paraId="65FA5597" w14:textId="5FD27506" w:rsidR="00966EE5" w:rsidRDefault="00966EE5" w:rsidP="59784E90">
      <w:pPr>
        <w:jc w:val="center"/>
        <w:rPr>
          <w:color w:val="3695D9"/>
          <w:sz w:val="30"/>
          <w:szCs w:val="30"/>
        </w:rPr>
      </w:pPr>
    </w:p>
    <w:p w14:paraId="54CFCBD9" w14:textId="6BFA368C" w:rsidR="00966EE5" w:rsidRDefault="00966EE5" w:rsidP="59784E90">
      <w:pPr>
        <w:jc w:val="center"/>
        <w:rPr>
          <w:color w:val="3695D9"/>
          <w:sz w:val="30"/>
          <w:szCs w:val="30"/>
        </w:rPr>
      </w:pPr>
    </w:p>
    <w:p w14:paraId="55BBA7D0" w14:textId="37C61AF0" w:rsidR="00966EE5" w:rsidRDefault="00966EE5" w:rsidP="59784E90">
      <w:pPr>
        <w:jc w:val="center"/>
        <w:rPr>
          <w:color w:val="3695D9"/>
          <w:sz w:val="30"/>
          <w:szCs w:val="30"/>
        </w:rPr>
      </w:pPr>
    </w:p>
    <w:p w14:paraId="393C32C0" w14:textId="5B31C567" w:rsidR="00966EE5" w:rsidRDefault="00966EE5" w:rsidP="59784E90">
      <w:pPr>
        <w:jc w:val="center"/>
        <w:rPr>
          <w:color w:val="3695D9"/>
          <w:sz w:val="30"/>
          <w:szCs w:val="30"/>
        </w:rPr>
      </w:pPr>
    </w:p>
    <w:p w14:paraId="6EF2DA35" w14:textId="5A63B728" w:rsidR="00966EE5" w:rsidRDefault="00966EE5" w:rsidP="59784E90">
      <w:pPr>
        <w:jc w:val="center"/>
        <w:rPr>
          <w:color w:val="3695D9"/>
          <w:sz w:val="30"/>
          <w:szCs w:val="30"/>
        </w:rPr>
      </w:pPr>
    </w:p>
    <w:p w14:paraId="122AD1C6" w14:textId="0CA5064B" w:rsidR="00966EE5" w:rsidRDefault="00966EE5" w:rsidP="59784E90">
      <w:pPr>
        <w:jc w:val="center"/>
        <w:rPr>
          <w:color w:val="3695D9"/>
          <w:sz w:val="30"/>
          <w:szCs w:val="30"/>
        </w:rPr>
      </w:pPr>
    </w:p>
    <w:p w14:paraId="27181FD4" w14:textId="279543B2" w:rsidR="00966EE5" w:rsidRDefault="00966EE5" w:rsidP="59784E90">
      <w:pPr>
        <w:jc w:val="center"/>
        <w:rPr>
          <w:color w:val="3695D9"/>
          <w:sz w:val="30"/>
          <w:szCs w:val="30"/>
        </w:rPr>
      </w:pPr>
    </w:p>
    <w:p w14:paraId="42A9CAA7" w14:textId="19719E3D" w:rsidR="00966EE5" w:rsidRDefault="00966EE5" w:rsidP="59784E90">
      <w:pPr>
        <w:jc w:val="center"/>
        <w:rPr>
          <w:color w:val="3695D9"/>
          <w:sz w:val="30"/>
          <w:szCs w:val="30"/>
        </w:rPr>
      </w:pPr>
    </w:p>
    <w:p w14:paraId="1B268307" w14:textId="3CFA4FC2" w:rsidR="00966EE5" w:rsidRDefault="00966EE5" w:rsidP="59784E90">
      <w:pPr>
        <w:jc w:val="center"/>
        <w:rPr>
          <w:color w:val="3695D9"/>
          <w:sz w:val="30"/>
          <w:szCs w:val="30"/>
        </w:rPr>
      </w:pPr>
    </w:p>
    <w:p w14:paraId="4520BEEC" w14:textId="02C10ADC" w:rsidR="00966EE5" w:rsidRDefault="00966EE5" w:rsidP="59784E90">
      <w:pPr>
        <w:jc w:val="center"/>
        <w:rPr>
          <w:color w:val="3695D9"/>
          <w:sz w:val="30"/>
          <w:szCs w:val="30"/>
        </w:rPr>
      </w:pPr>
    </w:p>
    <w:p w14:paraId="7900A25D" w14:textId="1C3BC311" w:rsidR="00966EE5" w:rsidRDefault="00966EE5" w:rsidP="59784E90">
      <w:pPr>
        <w:jc w:val="center"/>
        <w:rPr>
          <w:color w:val="3695D9"/>
          <w:sz w:val="30"/>
          <w:szCs w:val="30"/>
        </w:rPr>
      </w:pPr>
    </w:p>
    <w:p w14:paraId="2C6CAF62" w14:textId="37C44498" w:rsidR="00966EE5" w:rsidRDefault="00966EE5" w:rsidP="59784E90">
      <w:pPr>
        <w:jc w:val="center"/>
        <w:rPr>
          <w:color w:val="3695D9"/>
          <w:sz w:val="30"/>
          <w:szCs w:val="30"/>
        </w:rPr>
      </w:pPr>
    </w:p>
    <w:p w14:paraId="7FD946AA" w14:textId="5FAE555A" w:rsidR="00966EE5" w:rsidRDefault="00966EE5" w:rsidP="59784E90">
      <w:pPr>
        <w:jc w:val="center"/>
        <w:rPr>
          <w:color w:val="3695D9"/>
          <w:sz w:val="30"/>
          <w:szCs w:val="30"/>
        </w:rPr>
      </w:pPr>
    </w:p>
    <w:p w14:paraId="37EBAEB5" w14:textId="067E0D1E" w:rsidR="00966EE5" w:rsidRDefault="00966EE5" w:rsidP="59784E90">
      <w:pPr>
        <w:jc w:val="center"/>
        <w:rPr>
          <w:color w:val="3695D9"/>
          <w:sz w:val="30"/>
          <w:szCs w:val="30"/>
        </w:rPr>
      </w:pPr>
    </w:p>
    <w:p w14:paraId="7B8530DD" w14:textId="05D46DC4" w:rsidR="00966EE5" w:rsidRDefault="00966EE5" w:rsidP="59784E90">
      <w:pPr>
        <w:jc w:val="center"/>
        <w:rPr>
          <w:color w:val="3695D9"/>
          <w:sz w:val="30"/>
          <w:szCs w:val="30"/>
        </w:rPr>
      </w:pPr>
    </w:p>
    <w:p w14:paraId="6AE52AFC" w14:textId="43363CE6" w:rsidR="00966EE5" w:rsidRDefault="00966EE5" w:rsidP="59784E90">
      <w:pPr>
        <w:jc w:val="center"/>
        <w:rPr>
          <w:color w:val="3695D9"/>
          <w:sz w:val="30"/>
          <w:szCs w:val="30"/>
        </w:rPr>
      </w:pPr>
    </w:p>
    <w:p w14:paraId="59E61144" w14:textId="214361DA" w:rsidR="00966EE5" w:rsidRDefault="00966EE5" w:rsidP="59784E90">
      <w:pPr>
        <w:jc w:val="center"/>
        <w:rPr>
          <w:color w:val="3695D9"/>
          <w:sz w:val="30"/>
          <w:szCs w:val="30"/>
        </w:rPr>
      </w:pPr>
    </w:p>
    <w:p w14:paraId="3088FA69" w14:textId="56A6F574" w:rsidR="00966EE5" w:rsidRDefault="00966EE5" w:rsidP="59784E90">
      <w:pPr>
        <w:jc w:val="center"/>
        <w:rPr>
          <w:color w:val="3695D9"/>
          <w:sz w:val="30"/>
          <w:szCs w:val="30"/>
        </w:rPr>
      </w:pPr>
    </w:p>
    <w:p w14:paraId="6935E2D5" w14:textId="1C0A8D33" w:rsidR="00966EE5" w:rsidRDefault="6027A71C" w:rsidP="59784E90">
      <w:pPr>
        <w:jc w:val="center"/>
        <w:rPr>
          <w:color w:val="3695D9"/>
          <w:sz w:val="30"/>
          <w:szCs w:val="30"/>
        </w:rPr>
      </w:pPr>
      <w:r w:rsidRPr="59784E90">
        <w:rPr>
          <w:color w:val="3695D9"/>
          <w:sz w:val="30"/>
          <w:szCs w:val="30"/>
        </w:rPr>
        <w:t xml:space="preserve">Proposition n° 2 : </w:t>
      </w:r>
      <w:r w:rsidR="2537B7A8" w:rsidRPr="59784E90">
        <w:rPr>
          <w:color w:val="3695D9"/>
          <w:sz w:val="30"/>
          <w:szCs w:val="30"/>
        </w:rPr>
        <w:t xml:space="preserve">Préciser les </w:t>
      </w:r>
      <w:r w:rsidR="13E405AB" w:rsidRPr="59784E90">
        <w:rPr>
          <w:color w:val="3695D9"/>
          <w:sz w:val="30"/>
          <w:szCs w:val="30"/>
        </w:rPr>
        <w:t>informations devant être déclarées par les représentants d’intérêts à la HATVP à propos de leurs actions de lobbying</w:t>
      </w:r>
    </w:p>
    <w:p w14:paraId="1299C43A" w14:textId="35DC3295" w:rsidR="00966EE5" w:rsidRDefault="00966EE5">
      <w:pPr>
        <w:rPr>
          <w:rFonts w:ascii="Calibri" w:eastAsia="Calibri" w:hAnsi="Calibri" w:cs="Calibri"/>
          <w:sz w:val="24"/>
          <w:szCs w:val="24"/>
        </w:rPr>
      </w:pPr>
    </w:p>
    <w:p w14:paraId="3B765DBE" w14:textId="77777777" w:rsidR="6027A71C" w:rsidRDefault="6027A71C" w:rsidP="59784E90">
      <w:pPr>
        <w:jc w:val="center"/>
        <w:rPr>
          <w:color w:val="3695D9"/>
          <w:sz w:val="30"/>
          <w:szCs w:val="30"/>
        </w:rPr>
      </w:pPr>
      <w:r w:rsidRPr="59784E90">
        <w:rPr>
          <w:b/>
          <w:bCs/>
        </w:rPr>
        <w:t>ARTICLE ADDITIONNEL</w:t>
      </w:r>
    </w:p>
    <w:p w14:paraId="476ED3A5" w14:textId="73B28B90" w:rsidR="59784E90" w:rsidRDefault="59784E90" w:rsidP="59784E90">
      <w:pPr>
        <w:rPr>
          <w:rFonts w:ascii="Calibri" w:eastAsia="Calibri" w:hAnsi="Calibri" w:cs="Calibri"/>
          <w:sz w:val="24"/>
          <w:szCs w:val="24"/>
        </w:rPr>
      </w:pPr>
    </w:p>
    <w:p w14:paraId="4C448638" w14:textId="01687F9B" w:rsidR="6027A71C" w:rsidRDefault="6027A71C" w:rsidP="59784E90">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rPr>
      </w:pPr>
      <w:r w:rsidRPr="59784E90">
        <w:rPr>
          <w:rFonts w:ascii="Aptos" w:eastAsia="Aptos" w:hAnsi="Aptos" w:cs="Aptos"/>
          <w:color w:val="000000" w:themeColor="text1"/>
          <w:sz w:val="24"/>
          <w:szCs w:val="24"/>
          <w:lang w:val="fr-FR"/>
        </w:rPr>
        <w:t>Après l’article 3bis</w:t>
      </w:r>
    </w:p>
    <w:p w14:paraId="2BB028ED" w14:textId="40A4104E" w:rsidR="59784E90" w:rsidRDefault="59784E90" w:rsidP="59784E90">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6F8BE55C" w14:textId="524D388C" w:rsidR="6027A71C" w:rsidRDefault="6027A71C" w:rsidP="59784E90">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Insérer un article additionnel ainsi rédigé :</w:t>
      </w:r>
    </w:p>
    <w:p w14:paraId="6FCCF94E" w14:textId="3BFE8F1D" w:rsidR="59784E90" w:rsidRDefault="59784E90" w:rsidP="59784E90">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67CAE6B4" w14:textId="2310BB1B" w:rsidR="6027A71C" w:rsidRDefault="6027A71C" w:rsidP="59784E90">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 xml:space="preserve">“L’article 18-2 de la loi n° 2013-907 du 11 octobre 2013 relative à la transparence de la vie publique est ainsi modifié : </w:t>
      </w:r>
    </w:p>
    <w:p w14:paraId="4A702F39" w14:textId="750DD229" w:rsidR="59784E90" w:rsidRDefault="59784E90" w:rsidP="59784E90">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0E5BFECD" w14:textId="46314661" w:rsidR="6027A71C" w:rsidRDefault="6027A71C" w:rsidP="59784E90">
      <w:pPr>
        <w:pBdr>
          <w:top w:val="single" w:sz="4" w:space="4" w:color="000000"/>
          <w:left w:val="single" w:sz="4" w:space="4" w:color="000000"/>
          <w:bottom w:val="single" w:sz="4" w:space="4" w:color="000000"/>
          <w:right w:val="single" w:sz="4" w:space="4" w:color="000000"/>
        </w:pBdr>
        <w:spacing w:after="160" w:line="279" w:lineRule="auto"/>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Après les mots “des dépenses liées à ces actions durant l'année précédente”, insérer les mots</w:t>
      </w:r>
      <w:r w:rsidR="4585FB82" w:rsidRPr="59784E90">
        <w:rPr>
          <w:rFonts w:ascii="Aptos" w:eastAsia="Aptos" w:hAnsi="Aptos" w:cs="Aptos"/>
          <w:color w:val="000000" w:themeColor="text1"/>
          <w:sz w:val="24"/>
          <w:szCs w:val="24"/>
          <w:lang w:val="fr-FR"/>
        </w:rPr>
        <w:t xml:space="preserve"> : </w:t>
      </w:r>
    </w:p>
    <w:p w14:paraId="02244FC4" w14:textId="45FA0831" w:rsidR="6027A71C" w:rsidRDefault="6027A71C" w:rsidP="59784E90">
      <w:pPr>
        <w:pBdr>
          <w:top w:val="single" w:sz="4" w:space="4" w:color="000000"/>
          <w:left w:val="single" w:sz="4" w:space="4" w:color="000000"/>
          <w:bottom w:val="single" w:sz="4" w:space="4" w:color="000000"/>
          <w:right w:val="single" w:sz="4" w:space="4" w:color="000000"/>
        </w:pBdr>
        <w:spacing w:after="160" w:line="279" w:lineRule="auto"/>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 xml:space="preserve"> “</w:t>
      </w:r>
      <w:r w:rsidR="6EED2D44" w:rsidRPr="59784E90">
        <w:rPr>
          <w:rFonts w:ascii="Aptos" w:eastAsia="Aptos" w:hAnsi="Aptos" w:cs="Aptos"/>
          <w:color w:val="000000" w:themeColor="text1"/>
          <w:sz w:val="24"/>
          <w:szCs w:val="24"/>
          <w:lang w:val="fr-FR"/>
        </w:rPr>
        <w:t>,</w:t>
      </w:r>
      <w:r w:rsidRPr="59784E90">
        <w:rPr>
          <w:rFonts w:ascii="Aptos" w:eastAsia="Aptos" w:hAnsi="Aptos" w:cs="Aptos"/>
          <w:color w:val="000000" w:themeColor="text1"/>
          <w:sz w:val="24"/>
          <w:szCs w:val="24"/>
          <w:lang w:val="fr-FR"/>
        </w:rPr>
        <w:t xml:space="preserve"> la référence, l’objet ou l’intitulé de la décision publique visée, l’identité des responsables publics visés, l’objectif recherché et tout document écrit transmis au responsable public afin de servir cette action”</w:t>
      </w:r>
      <w:r w:rsidR="6500DE98" w:rsidRPr="59784E90">
        <w:rPr>
          <w:rFonts w:ascii="Aptos" w:eastAsia="Aptos" w:hAnsi="Aptos" w:cs="Aptos"/>
          <w:color w:val="000000" w:themeColor="text1"/>
          <w:sz w:val="24"/>
          <w:szCs w:val="24"/>
          <w:lang w:val="fr-FR"/>
        </w:rPr>
        <w:t xml:space="preserve"> ”</w:t>
      </w:r>
    </w:p>
    <w:p w14:paraId="3FE369C5" w14:textId="0459DF30" w:rsidR="59784E90" w:rsidRDefault="59784E90" w:rsidP="59784E90">
      <w:pPr>
        <w:spacing w:after="160" w:line="279" w:lineRule="auto"/>
        <w:rPr>
          <w:rFonts w:ascii="Aptos" w:eastAsia="Aptos" w:hAnsi="Aptos" w:cs="Aptos"/>
          <w:color w:val="000000" w:themeColor="text1"/>
          <w:sz w:val="24"/>
          <w:szCs w:val="24"/>
          <w:lang w:val="fr-FR"/>
        </w:rPr>
      </w:pPr>
    </w:p>
    <w:p w14:paraId="26466104" w14:textId="77777777" w:rsidR="6027A71C" w:rsidRDefault="6027A71C" w:rsidP="59784E90">
      <w:pPr>
        <w:jc w:val="center"/>
        <w:rPr>
          <w:b/>
          <w:bCs/>
        </w:rPr>
      </w:pPr>
      <w:r w:rsidRPr="59784E90">
        <w:rPr>
          <w:b/>
          <w:bCs/>
        </w:rPr>
        <w:t>EXPOSÉ SOMMAIRE</w:t>
      </w:r>
    </w:p>
    <w:p w14:paraId="6D223808" w14:textId="380FD08D" w:rsidR="59784E90" w:rsidRDefault="59784E90" w:rsidP="59784E90">
      <w:pPr>
        <w:spacing w:after="160" w:line="279" w:lineRule="auto"/>
        <w:rPr>
          <w:rFonts w:ascii="Aptos" w:eastAsia="Aptos" w:hAnsi="Aptos" w:cs="Aptos"/>
          <w:color w:val="000000" w:themeColor="text1"/>
          <w:sz w:val="24"/>
          <w:szCs w:val="24"/>
          <w:lang w:val="fr-FR"/>
        </w:rPr>
      </w:pPr>
    </w:p>
    <w:p w14:paraId="3F74E3F4" w14:textId="2EE95D36" w:rsidR="7879A363" w:rsidRDefault="7879A363" w:rsidP="59784E90">
      <w:pPr>
        <w:spacing w:after="160" w:line="279" w:lineRule="auto"/>
        <w:jc w:val="both"/>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 xml:space="preserve">Cet amendement a été suggéré par l’ONG anti-corruption </w:t>
      </w:r>
      <w:proofErr w:type="spellStart"/>
      <w:r w:rsidRPr="59784E90">
        <w:rPr>
          <w:rFonts w:ascii="Aptos" w:eastAsia="Aptos" w:hAnsi="Aptos" w:cs="Aptos"/>
          <w:color w:val="000000" w:themeColor="text1"/>
          <w:sz w:val="24"/>
          <w:szCs w:val="24"/>
          <w:lang w:val="fr-FR"/>
        </w:rPr>
        <w:t>Transparency</w:t>
      </w:r>
      <w:proofErr w:type="spellEnd"/>
      <w:r w:rsidRPr="59784E90">
        <w:rPr>
          <w:rFonts w:ascii="Aptos" w:eastAsia="Aptos" w:hAnsi="Aptos" w:cs="Aptos"/>
          <w:color w:val="000000" w:themeColor="text1"/>
          <w:sz w:val="24"/>
          <w:szCs w:val="24"/>
          <w:lang w:val="fr-FR"/>
        </w:rPr>
        <w:t xml:space="preserve"> International France.</w:t>
      </w:r>
    </w:p>
    <w:p w14:paraId="3D2B7953" w14:textId="71DC59B0" w:rsidR="7723CADB" w:rsidRDefault="7723CADB" w:rsidP="59784E90">
      <w:pPr>
        <w:spacing w:after="160" w:line="279" w:lineRule="auto"/>
        <w:jc w:val="both"/>
      </w:pPr>
      <w:r w:rsidRPr="59784E90">
        <w:rPr>
          <w:rFonts w:ascii="Aptos" w:eastAsia="Aptos" w:hAnsi="Aptos" w:cs="Aptos"/>
          <w:color w:val="000000" w:themeColor="text1"/>
          <w:sz w:val="24"/>
          <w:szCs w:val="24"/>
          <w:lang w:val="fr-FR"/>
        </w:rPr>
        <w:t xml:space="preserve">Il vise à renforcer la transparence des actions de lobbying qui doivent être déclarées par les représentants d’intérêts inscrits au répertoire de la Haute autorité pour la transparence de la vie publique, </w:t>
      </w:r>
      <w:r w:rsidR="705DA264" w:rsidRPr="59784E90">
        <w:rPr>
          <w:rFonts w:ascii="Aptos" w:eastAsia="Aptos" w:hAnsi="Aptos" w:cs="Aptos"/>
          <w:color w:val="000000" w:themeColor="text1"/>
          <w:sz w:val="24"/>
          <w:szCs w:val="24"/>
          <w:lang w:val="fr-FR"/>
        </w:rPr>
        <w:t xml:space="preserve">en simplifiant les critères déclaratifs imprécis qui ont été introduits par le décret d’application </w:t>
      </w:r>
      <w:r w:rsidR="705DA264">
        <w:t>n° 2017-867 du 9 mai 2017 relatif au répertoire numérique des représentants d'intérêts.</w:t>
      </w:r>
    </w:p>
    <w:p w14:paraId="367E5F07" w14:textId="0F22807E" w:rsidR="11568593" w:rsidRDefault="11568593" w:rsidP="59784E90">
      <w:pPr>
        <w:spacing w:after="160" w:line="279" w:lineRule="auto"/>
        <w:jc w:val="both"/>
      </w:pPr>
      <w:r>
        <w:t xml:space="preserve">Actuellement, les représentants d’intérêts doivent déclarer chaque année à la HATVP </w:t>
      </w:r>
      <w:r w:rsidR="006D0E65">
        <w:t>l’objet de</w:t>
      </w:r>
      <w:r>
        <w:t xml:space="preserve"> leurs actions de lobbying, ainsi que la catégorie des décisions publiques et des responsables publiques visées par ces dernières.</w:t>
      </w:r>
      <w:r w:rsidR="507533C7">
        <w:t xml:space="preserve"> Ces déclarations par catégories vagues et imprécises introduites par le décret d’application </w:t>
      </w:r>
      <w:r w:rsidR="4CF24750">
        <w:t>n’ont pas permis à la loi de réaliser l’objectif de transparence du lobbying qu’elle visait puisque les informations contenues dans le répertoire de la HATVP ne permettent pas aux citoyens de prendre connaissance précisément du contenu et des objectifs des actions de lobbying.</w:t>
      </w:r>
      <w:r w:rsidR="4889BD38">
        <w:t xml:space="preserve"> </w:t>
      </w:r>
      <w:r w:rsidR="4CF24750">
        <w:t>Par a</w:t>
      </w:r>
      <w:r w:rsidR="3F17614B">
        <w:t xml:space="preserve">illeurs, ces </w:t>
      </w:r>
      <w:r w:rsidR="0A9C8E01">
        <w:t>critères imprécis introduits par le décret</w:t>
      </w:r>
      <w:r w:rsidR="3F17614B">
        <w:t xml:space="preserve"> </w:t>
      </w:r>
      <w:r w:rsidR="507533C7">
        <w:t>n’ont pas simplifié les obligations déclaratives des représentants d’intérêts puisque ceux</w:t>
      </w:r>
      <w:r w:rsidR="04FFB5A0">
        <w:t>-ci doivent</w:t>
      </w:r>
      <w:r w:rsidR="39532646">
        <w:t xml:space="preserve"> de</w:t>
      </w:r>
      <w:r w:rsidR="04FFB5A0">
        <w:t xml:space="preserve"> </w:t>
      </w:r>
      <w:r w:rsidR="66391D8F">
        <w:t xml:space="preserve">toute façon </w:t>
      </w:r>
      <w:r w:rsidR="04FFB5A0">
        <w:t xml:space="preserve">retracer en interne la référence exacte des </w:t>
      </w:r>
      <w:r w:rsidR="04FFB5A0">
        <w:lastRenderedPageBreak/>
        <w:t xml:space="preserve">décisions publiques visées (nom de la loi, du décret...) afin de pouvoir en déclarer la catégorie, et également retracer l’identité des responsables publics visés pour </w:t>
      </w:r>
      <w:r w:rsidR="6C6BB10A">
        <w:t>savoir s’ils appartiennent à une des catégories de responsables publics susceptibles d’être visés par une action de représentation d’intérêts au sens de la loi Sapin 2.</w:t>
      </w:r>
      <w:r w:rsidR="3CEB5E95">
        <w:t xml:space="preserve"> Pour réaliser leur déclaration et se préparer à un éventuel contrôle de la HATVP, les représentants d’intérêts conservent également en interne les documents de lobbying qu’ils ont pu envoyer à des responsables publics.</w:t>
      </w:r>
    </w:p>
    <w:p w14:paraId="3945FC8E" w14:textId="46B51E0D" w:rsidR="7106FC02" w:rsidRDefault="7106FC02" w:rsidP="59784E90">
      <w:pPr>
        <w:spacing w:after="160" w:line="279" w:lineRule="auto"/>
        <w:jc w:val="both"/>
        <w:rPr>
          <w:rFonts w:ascii="Aptos" w:eastAsia="Aptos" w:hAnsi="Aptos" w:cs="Aptos"/>
          <w:color w:val="000000" w:themeColor="text1"/>
          <w:sz w:val="24"/>
          <w:szCs w:val="24"/>
          <w:lang w:val="fr-FR"/>
        </w:rPr>
      </w:pPr>
      <w:r>
        <w:t>Cet amendement propose donc de simplifier les obligations déclaratives applicables aux représentants d’intérêts en obligeant la publication d’informations dont il dispose déjà : la référence</w:t>
      </w:r>
      <w:r w:rsidR="69FC0C2E">
        <w:t xml:space="preserve">, l’objet ou l’intitulé </w:t>
      </w:r>
      <w:r>
        <w:t>de la décision publique visé</w:t>
      </w:r>
      <w:r w:rsidR="056BD36E">
        <w:t>e, l’identité des responsables publics visés</w:t>
      </w:r>
      <w:r w:rsidR="449F22CE">
        <w:t xml:space="preserve">, ainsi que </w:t>
      </w:r>
      <w:r w:rsidR="449F22CE" w:rsidRPr="59784E90">
        <w:rPr>
          <w:rFonts w:ascii="Aptos" w:eastAsia="Aptos" w:hAnsi="Aptos" w:cs="Aptos"/>
          <w:color w:val="000000" w:themeColor="text1"/>
          <w:sz w:val="24"/>
          <w:szCs w:val="24"/>
          <w:lang w:val="fr-FR"/>
        </w:rPr>
        <w:t xml:space="preserve">tout document écrit transmis au responsable public afin de servir cette action. Il convient de rappeler que rien ne s’oppose à la publication par principe de ces documents puisque la Commission d’accès aux documents administratifs rappelle régulièrement que les documents transmis par des représentants d’intérêts </w:t>
      </w:r>
      <w:r w:rsidR="297AF6EC" w:rsidRPr="59784E90">
        <w:rPr>
          <w:rFonts w:ascii="Aptos" w:eastAsia="Aptos" w:hAnsi="Aptos" w:cs="Aptos"/>
          <w:color w:val="000000" w:themeColor="text1"/>
          <w:sz w:val="24"/>
          <w:szCs w:val="24"/>
          <w:lang w:val="fr-FR"/>
        </w:rPr>
        <w:t xml:space="preserve">à des responsables publics </w:t>
      </w:r>
      <w:r w:rsidR="449F22CE" w:rsidRPr="59784E90">
        <w:rPr>
          <w:rFonts w:ascii="Aptos" w:eastAsia="Aptos" w:hAnsi="Aptos" w:cs="Aptos"/>
          <w:color w:val="000000" w:themeColor="text1"/>
          <w:sz w:val="24"/>
          <w:szCs w:val="24"/>
          <w:lang w:val="fr-FR"/>
        </w:rPr>
        <w:t>constit</w:t>
      </w:r>
      <w:r w:rsidR="0D31258B" w:rsidRPr="59784E90">
        <w:rPr>
          <w:rFonts w:ascii="Aptos" w:eastAsia="Aptos" w:hAnsi="Aptos" w:cs="Aptos"/>
          <w:color w:val="000000" w:themeColor="text1"/>
          <w:sz w:val="24"/>
          <w:szCs w:val="24"/>
          <w:lang w:val="fr-FR"/>
        </w:rPr>
        <w:t xml:space="preserve">uent des documents </w:t>
      </w:r>
      <w:r w:rsidR="6D378B3E" w:rsidRPr="59784E90">
        <w:rPr>
          <w:rFonts w:ascii="Aptos" w:eastAsia="Aptos" w:hAnsi="Aptos" w:cs="Aptos"/>
          <w:color w:val="000000" w:themeColor="text1"/>
          <w:sz w:val="24"/>
          <w:szCs w:val="24"/>
          <w:lang w:val="fr-FR"/>
        </w:rPr>
        <w:t>administratif</w:t>
      </w:r>
      <w:r w:rsidR="7BD3F82B" w:rsidRPr="59784E90">
        <w:rPr>
          <w:rFonts w:ascii="Aptos" w:eastAsia="Aptos" w:hAnsi="Aptos" w:cs="Aptos"/>
          <w:color w:val="000000" w:themeColor="text1"/>
          <w:sz w:val="24"/>
          <w:szCs w:val="24"/>
          <w:lang w:val="fr-FR"/>
        </w:rPr>
        <w:t xml:space="preserve">s </w:t>
      </w:r>
      <w:r w:rsidR="6D378B3E" w:rsidRPr="59784E90">
        <w:rPr>
          <w:rFonts w:ascii="Aptos" w:eastAsia="Aptos" w:hAnsi="Aptos" w:cs="Aptos"/>
          <w:color w:val="000000" w:themeColor="text1"/>
          <w:sz w:val="24"/>
          <w:szCs w:val="24"/>
          <w:lang w:val="fr-FR"/>
        </w:rPr>
        <w:t>dont tout citoyen peut obtenir la communication sur demande. Par ailleurs, l’Allemagne a renforcé son répertoire de transparence du lobbying en 2024 et les lobbyistes doivent désormais y publier</w:t>
      </w:r>
      <w:r w:rsidR="5CC0C2C5" w:rsidRPr="59784E90">
        <w:rPr>
          <w:rFonts w:ascii="Aptos" w:eastAsia="Aptos" w:hAnsi="Aptos" w:cs="Aptos"/>
          <w:color w:val="000000" w:themeColor="text1"/>
          <w:sz w:val="24"/>
          <w:szCs w:val="24"/>
          <w:lang w:val="fr-FR"/>
        </w:rPr>
        <w:t xml:space="preserve"> tous les documents écrits qu’ils ont pu envoyer à des responsables publics à des fins de lobbying.</w:t>
      </w:r>
    </w:p>
    <w:p w14:paraId="0E59C953" w14:textId="173C4F4E" w:rsidR="59784E90" w:rsidRDefault="59784E90" w:rsidP="59784E90">
      <w:pPr>
        <w:spacing w:after="160" w:line="279" w:lineRule="auto"/>
        <w:jc w:val="both"/>
      </w:pPr>
    </w:p>
    <w:p w14:paraId="3C1E9162" w14:textId="23B7964E" w:rsidR="59784E90" w:rsidRDefault="59784E90" w:rsidP="59784E90">
      <w:pPr>
        <w:jc w:val="both"/>
        <w:rPr>
          <w:rFonts w:ascii="Calibri" w:eastAsia="Calibri" w:hAnsi="Calibri" w:cs="Calibri"/>
          <w:sz w:val="24"/>
          <w:szCs w:val="24"/>
        </w:rPr>
      </w:pPr>
    </w:p>
    <w:p w14:paraId="515CC288" w14:textId="1939B7D2" w:rsidR="59784E90" w:rsidRDefault="59784E90" w:rsidP="59784E90">
      <w:pPr>
        <w:rPr>
          <w:rFonts w:ascii="Calibri" w:eastAsia="Calibri" w:hAnsi="Calibri" w:cs="Calibri"/>
          <w:sz w:val="24"/>
          <w:szCs w:val="24"/>
        </w:rPr>
      </w:pPr>
    </w:p>
    <w:p w14:paraId="7C85BF0E" w14:textId="61CE91B8" w:rsidR="59784E90" w:rsidRDefault="59784E90" w:rsidP="59784E90">
      <w:pPr>
        <w:rPr>
          <w:rFonts w:ascii="Calibri" w:eastAsia="Calibri" w:hAnsi="Calibri" w:cs="Calibri"/>
          <w:sz w:val="24"/>
          <w:szCs w:val="24"/>
        </w:rPr>
      </w:pPr>
    </w:p>
    <w:p w14:paraId="4FEF234E" w14:textId="533028B2" w:rsidR="59784E90" w:rsidRDefault="59784E90" w:rsidP="59784E90">
      <w:pPr>
        <w:rPr>
          <w:rFonts w:ascii="Calibri" w:eastAsia="Calibri" w:hAnsi="Calibri" w:cs="Calibri"/>
          <w:sz w:val="24"/>
          <w:szCs w:val="24"/>
        </w:rPr>
      </w:pPr>
    </w:p>
    <w:p w14:paraId="26D043BF" w14:textId="596A11F7" w:rsidR="59784E90" w:rsidRDefault="59784E90" w:rsidP="59784E90">
      <w:pPr>
        <w:rPr>
          <w:rFonts w:ascii="Calibri" w:eastAsia="Calibri" w:hAnsi="Calibri" w:cs="Calibri"/>
          <w:sz w:val="24"/>
          <w:szCs w:val="24"/>
        </w:rPr>
      </w:pPr>
    </w:p>
    <w:p w14:paraId="4DCA5938" w14:textId="685C344F" w:rsidR="59784E90" w:rsidRDefault="59784E90" w:rsidP="59784E90">
      <w:pPr>
        <w:rPr>
          <w:rFonts w:ascii="Calibri" w:eastAsia="Calibri" w:hAnsi="Calibri" w:cs="Calibri"/>
          <w:sz w:val="24"/>
          <w:szCs w:val="24"/>
        </w:rPr>
      </w:pPr>
    </w:p>
    <w:p w14:paraId="7FACE81B" w14:textId="27788F1E" w:rsidR="59784E90" w:rsidRDefault="59784E90" w:rsidP="59784E90">
      <w:pPr>
        <w:rPr>
          <w:rFonts w:ascii="Calibri" w:eastAsia="Calibri" w:hAnsi="Calibri" w:cs="Calibri"/>
          <w:sz w:val="24"/>
          <w:szCs w:val="24"/>
        </w:rPr>
      </w:pPr>
    </w:p>
    <w:p w14:paraId="23D35234" w14:textId="60E45851" w:rsidR="59784E90" w:rsidRDefault="59784E90" w:rsidP="59784E90">
      <w:pPr>
        <w:rPr>
          <w:rFonts w:ascii="Calibri" w:eastAsia="Calibri" w:hAnsi="Calibri" w:cs="Calibri"/>
          <w:sz w:val="24"/>
          <w:szCs w:val="24"/>
        </w:rPr>
      </w:pPr>
    </w:p>
    <w:p w14:paraId="3EF518AC" w14:textId="39318B34" w:rsidR="59784E90" w:rsidRDefault="59784E90" w:rsidP="59784E90">
      <w:pPr>
        <w:rPr>
          <w:rFonts w:ascii="Calibri" w:eastAsia="Calibri" w:hAnsi="Calibri" w:cs="Calibri"/>
          <w:sz w:val="24"/>
          <w:szCs w:val="24"/>
        </w:rPr>
      </w:pPr>
    </w:p>
    <w:p w14:paraId="44F97692" w14:textId="4E250842" w:rsidR="59784E90" w:rsidRDefault="59784E90" w:rsidP="59784E90">
      <w:pPr>
        <w:rPr>
          <w:rFonts w:ascii="Calibri" w:eastAsia="Calibri" w:hAnsi="Calibri" w:cs="Calibri"/>
          <w:sz w:val="24"/>
          <w:szCs w:val="24"/>
        </w:rPr>
      </w:pPr>
    </w:p>
    <w:p w14:paraId="09741419" w14:textId="1B0DE014" w:rsidR="59784E90" w:rsidRDefault="59784E90" w:rsidP="59784E90">
      <w:pPr>
        <w:rPr>
          <w:rFonts w:ascii="Calibri" w:eastAsia="Calibri" w:hAnsi="Calibri" w:cs="Calibri"/>
          <w:sz w:val="24"/>
          <w:szCs w:val="24"/>
        </w:rPr>
      </w:pPr>
    </w:p>
    <w:p w14:paraId="7D303EE6" w14:textId="37D6A05E" w:rsidR="59784E90" w:rsidRDefault="59784E90" w:rsidP="59784E90">
      <w:pPr>
        <w:rPr>
          <w:rFonts w:ascii="Calibri" w:eastAsia="Calibri" w:hAnsi="Calibri" w:cs="Calibri"/>
          <w:sz w:val="24"/>
          <w:szCs w:val="24"/>
        </w:rPr>
      </w:pPr>
    </w:p>
    <w:p w14:paraId="5DFD937A" w14:textId="31CC75DD" w:rsidR="59784E90" w:rsidRDefault="59784E90" w:rsidP="59784E90">
      <w:pPr>
        <w:rPr>
          <w:rFonts w:ascii="Calibri" w:eastAsia="Calibri" w:hAnsi="Calibri" w:cs="Calibri"/>
          <w:sz w:val="24"/>
          <w:szCs w:val="24"/>
        </w:rPr>
      </w:pPr>
    </w:p>
    <w:p w14:paraId="2B447C85" w14:textId="52ADD901" w:rsidR="59784E90" w:rsidRDefault="59784E90" w:rsidP="59784E90">
      <w:pPr>
        <w:rPr>
          <w:rFonts w:ascii="Calibri" w:eastAsia="Calibri" w:hAnsi="Calibri" w:cs="Calibri"/>
          <w:sz w:val="24"/>
          <w:szCs w:val="24"/>
        </w:rPr>
      </w:pPr>
    </w:p>
    <w:p w14:paraId="41C09241" w14:textId="76B28EFB" w:rsidR="59784E90" w:rsidRDefault="59784E90" w:rsidP="59784E90">
      <w:pPr>
        <w:rPr>
          <w:rFonts w:ascii="Calibri" w:eastAsia="Calibri" w:hAnsi="Calibri" w:cs="Calibri"/>
          <w:sz w:val="24"/>
          <w:szCs w:val="24"/>
        </w:rPr>
      </w:pPr>
    </w:p>
    <w:p w14:paraId="354110CC" w14:textId="0435FF93" w:rsidR="59784E90" w:rsidRDefault="59784E90" w:rsidP="59784E90">
      <w:pPr>
        <w:rPr>
          <w:rFonts w:ascii="Calibri" w:eastAsia="Calibri" w:hAnsi="Calibri" w:cs="Calibri"/>
          <w:sz w:val="24"/>
          <w:szCs w:val="24"/>
        </w:rPr>
      </w:pPr>
    </w:p>
    <w:p w14:paraId="0EE9CB78" w14:textId="71A75F81" w:rsidR="59784E90" w:rsidRDefault="59784E90" w:rsidP="59784E90">
      <w:pPr>
        <w:rPr>
          <w:rFonts w:ascii="Calibri" w:eastAsia="Calibri" w:hAnsi="Calibri" w:cs="Calibri"/>
          <w:sz w:val="24"/>
          <w:szCs w:val="24"/>
        </w:rPr>
      </w:pPr>
    </w:p>
    <w:p w14:paraId="365DF5E1" w14:textId="30D911C5" w:rsidR="59784E90" w:rsidRDefault="59784E90" w:rsidP="59784E90">
      <w:pPr>
        <w:rPr>
          <w:rFonts w:ascii="Calibri" w:eastAsia="Calibri" w:hAnsi="Calibri" w:cs="Calibri"/>
          <w:sz w:val="24"/>
          <w:szCs w:val="24"/>
        </w:rPr>
      </w:pPr>
    </w:p>
    <w:p w14:paraId="4BEED1E9" w14:textId="50FB3D9C" w:rsidR="59784E90" w:rsidRDefault="59784E90" w:rsidP="59784E90">
      <w:pPr>
        <w:rPr>
          <w:rFonts w:ascii="Calibri" w:eastAsia="Calibri" w:hAnsi="Calibri" w:cs="Calibri"/>
          <w:sz w:val="24"/>
          <w:szCs w:val="24"/>
        </w:rPr>
      </w:pPr>
    </w:p>
    <w:p w14:paraId="41D50D55" w14:textId="387FE5C8" w:rsidR="59784E90" w:rsidRDefault="59784E90" w:rsidP="59784E90">
      <w:pPr>
        <w:rPr>
          <w:rFonts w:ascii="Calibri" w:eastAsia="Calibri" w:hAnsi="Calibri" w:cs="Calibri"/>
          <w:sz w:val="24"/>
          <w:szCs w:val="24"/>
        </w:rPr>
      </w:pPr>
    </w:p>
    <w:p w14:paraId="49687850" w14:textId="2971CE2F" w:rsidR="59784E90" w:rsidRDefault="59784E90" w:rsidP="59784E90">
      <w:pPr>
        <w:rPr>
          <w:rFonts w:ascii="Calibri" w:eastAsia="Calibri" w:hAnsi="Calibri" w:cs="Calibri"/>
          <w:sz w:val="24"/>
          <w:szCs w:val="24"/>
        </w:rPr>
      </w:pPr>
    </w:p>
    <w:p w14:paraId="538BF2D1" w14:textId="4DFE62C2" w:rsidR="59784E90" w:rsidRDefault="59784E90" w:rsidP="59784E90">
      <w:pPr>
        <w:rPr>
          <w:rFonts w:ascii="Calibri" w:eastAsia="Calibri" w:hAnsi="Calibri" w:cs="Calibri"/>
          <w:sz w:val="24"/>
          <w:szCs w:val="24"/>
        </w:rPr>
      </w:pPr>
    </w:p>
    <w:p w14:paraId="666FBF7F" w14:textId="23C47C12" w:rsidR="5CC0C2C5" w:rsidRDefault="5CC0C2C5" w:rsidP="59784E90">
      <w:pPr>
        <w:jc w:val="center"/>
        <w:rPr>
          <w:color w:val="3695D9"/>
          <w:sz w:val="30"/>
          <w:szCs w:val="30"/>
        </w:rPr>
      </w:pPr>
      <w:r w:rsidRPr="59784E90">
        <w:rPr>
          <w:color w:val="3695D9"/>
          <w:sz w:val="30"/>
          <w:szCs w:val="30"/>
        </w:rPr>
        <w:lastRenderedPageBreak/>
        <w:t xml:space="preserve">Proposition n° </w:t>
      </w:r>
      <w:r w:rsidR="6D1528F4" w:rsidRPr="59784E90">
        <w:rPr>
          <w:color w:val="3695D9"/>
          <w:sz w:val="30"/>
          <w:szCs w:val="30"/>
        </w:rPr>
        <w:t>3</w:t>
      </w:r>
      <w:r w:rsidRPr="59784E90">
        <w:rPr>
          <w:color w:val="3695D9"/>
          <w:sz w:val="30"/>
          <w:szCs w:val="30"/>
        </w:rPr>
        <w:t xml:space="preserve"> : P</w:t>
      </w:r>
      <w:r w:rsidR="222148EE" w:rsidRPr="59784E90">
        <w:rPr>
          <w:color w:val="3695D9"/>
          <w:sz w:val="30"/>
          <w:szCs w:val="30"/>
        </w:rPr>
        <w:t>ermettre aux groupes d’en</w:t>
      </w:r>
      <w:r w:rsidR="1B3D443A" w:rsidRPr="59784E90">
        <w:rPr>
          <w:color w:val="3695D9"/>
          <w:sz w:val="30"/>
          <w:szCs w:val="30"/>
        </w:rPr>
        <w:t>treprises de faire des déclarations de lobbying consolidées au niveau d</w:t>
      </w:r>
      <w:r w:rsidR="00A35371">
        <w:rPr>
          <w:color w:val="3695D9"/>
          <w:sz w:val="30"/>
          <w:szCs w:val="30"/>
        </w:rPr>
        <w:t>e la société-mère</w:t>
      </w:r>
    </w:p>
    <w:p w14:paraId="6E376DC9" w14:textId="35DC3295" w:rsidR="59784E90" w:rsidRDefault="59784E90" w:rsidP="59784E90">
      <w:pPr>
        <w:rPr>
          <w:rFonts w:ascii="Calibri" w:eastAsia="Calibri" w:hAnsi="Calibri" w:cs="Calibri"/>
          <w:sz w:val="24"/>
          <w:szCs w:val="24"/>
        </w:rPr>
      </w:pPr>
    </w:p>
    <w:p w14:paraId="11A8CB08" w14:textId="77777777" w:rsidR="0068126C" w:rsidRDefault="0068126C" w:rsidP="0068126C">
      <w:pPr>
        <w:jc w:val="center"/>
        <w:rPr>
          <w:color w:val="3695D9"/>
          <w:sz w:val="30"/>
          <w:szCs w:val="30"/>
        </w:rPr>
      </w:pPr>
      <w:r w:rsidRPr="59784E90">
        <w:rPr>
          <w:b/>
          <w:bCs/>
        </w:rPr>
        <w:t>ARTICLE ADDITIONNEL</w:t>
      </w:r>
    </w:p>
    <w:p w14:paraId="13819AF8" w14:textId="77777777" w:rsidR="0068126C" w:rsidRDefault="0068126C" w:rsidP="0068126C">
      <w:pPr>
        <w:rPr>
          <w:rFonts w:ascii="Calibri" w:eastAsia="Calibri" w:hAnsi="Calibri" w:cs="Calibri"/>
          <w:sz w:val="24"/>
          <w:szCs w:val="24"/>
        </w:rPr>
      </w:pPr>
    </w:p>
    <w:p w14:paraId="6E22E43F"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rPr>
      </w:pPr>
      <w:r w:rsidRPr="59784E90">
        <w:rPr>
          <w:rFonts w:ascii="Aptos" w:eastAsia="Aptos" w:hAnsi="Aptos" w:cs="Aptos"/>
          <w:color w:val="000000" w:themeColor="text1"/>
          <w:sz w:val="24"/>
          <w:szCs w:val="24"/>
          <w:lang w:val="fr-FR"/>
        </w:rPr>
        <w:t>Après l’article 3bis</w:t>
      </w:r>
    </w:p>
    <w:p w14:paraId="4B9B4204"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1E407A7B"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Insérer un article additionnel ainsi rédigé :</w:t>
      </w:r>
    </w:p>
    <w:p w14:paraId="2AA79129"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79788884"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 xml:space="preserve">“L’article 18-2 de la loi n° 2013-907 du 11 octobre 2013 relative à la transparence de la vie publique est ainsi modifié : </w:t>
      </w:r>
    </w:p>
    <w:p w14:paraId="201A19C1"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245AC6E0"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Après le 6ème alinéa, un alinéa additionnel ainsi rédigé est ajouté :</w:t>
      </w:r>
    </w:p>
    <w:p w14:paraId="498C36F9" w14:textId="77777777"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p>
    <w:p w14:paraId="2325BFC2" w14:textId="2E096361" w:rsidR="0068126C" w:rsidRDefault="0068126C" w:rsidP="0068126C">
      <w:pPr>
        <w:pBdr>
          <w:top w:val="single" w:sz="4" w:space="4" w:color="000000"/>
          <w:left w:val="single" w:sz="4" w:space="4" w:color="000000"/>
          <w:bottom w:val="single" w:sz="4" w:space="4" w:color="000000"/>
          <w:right w:val="single" w:sz="4" w:space="4" w:color="000000"/>
        </w:pBdr>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 xml:space="preserve"> “Les groupes d’entreprises</w:t>
      </w:r>
      <w:r w:rsidR="00976913">
        <w:rPr>
          <w:rFonts w:ascii="Aptos" w:eastAsia="Aptos" w:hAnsi="Aptos" w:cs="Aptos"/>
          <w:color w:val="000000" w:themeColor="text1"/>
          <w:sz w:val="24"/>
          <w:szCs w:val="24"/>
          <w:lang w:val="fr-FR"/>
        </w:rPr>
        <w:t xml:space="preserve"> dont plusieurs entreprises-membres </w:t>
      </w:r>
      <w:r w:rsidR="00E336DD">
        <w:rPr>
          <w:rFonts w:ascii="Aptos" w:eastAsia="Aptos" w:hAnsi="Aptos" w:cs="Aptos"/>
          <w:color w:val="000000" w:themeColor="text1"/>
          <w:sz w:val="24"/>
          <w:szCs w:val="24"/>
          <w:lang w:val="fr-FR"/>
        </w:rPr>
        <w:t>sont</w:t>
      </w:r>
      <w:r w:rsidR="00976913">
        <w:rPr>
          <w:rFonts w:ascii="Aptos" w:eastAsia="Aptos" w:hAnsi="Aptos" w:cs="Aptos"/>
          <w:color w:val="000000" w:themeColor="text1"/>
          <w:sz w:val="24"/>
          <w:szCs w:val="24"/>
          <w:lang w:val="fr-FR"/>
        </w:rPr>
        <w:t xml:space="preserve"> des représentants d’intérêts</w:t>
      </w:r>
      <w:r w:rsidRPr="59784E90">
        <w:rPr>
          <w:rFonts w:ascii="Aptos" w:eastAsia="Aptos" w:hAnsi="Aptos" w:cs="Aptos"/>
          <w:color w:val="000000" w:themeColor="text1"/>
          <w:sz w:val="24"/>
          <w:szCs w:val="24"/>
          <w:lang w:val="fr-FR"/>
        </w:rPr>
        <w:t xml:space="preserve"> peuvent déclarer ces informations au sein d’une seule déclaration </w:t>
      </w:r>
      <w:r w:rsidR="00E336DD">
        <w:rPr>
          <w:rFonts w:ascii="Aptos" w:eastAsia="Aptos" w:hAnsi="Aptos" w:cs="Aptos"/>
          <w:color w:val="000000" w:themeColor="text1"/>
          <w:sz w:val="24"/>
          <w:szCs w:val="24"/>
          <w:lang w:val="fr-FR"/>
        </w:rPr>
        <w:t>réalisée par</w:t>
      </w:r>
      <w:r w:rsidR="00976913">
        <w:rPr>
          <w:rFonts w:ascii="Aptos" w:eastAsia="Aptos" w:hAnsi="Aptos" w:cs="Aptos"/>
          <w:color w:val="000000" w:themeColor="text1"/>
          <w:sz w:val="24"/>
          <w:szCs w:val="24"/>
          <w:lang w:val="fr-FR"/>
        </w:rPr>
        <w:t xml:space="preserve"> la société-mère du groupe »</w:t>
      </w:r>
      <w:r w:rsidR="00E336DD">
        <w:rPr>
          <w:rFonts w:ascii="Aptos" w:eastAsia="Aptos" w:hAnsi="Aptos" w:cs="Aptos"/>
          <w:color w:val="000000" w:themeColor="text1"/>
          <w:sz w:val="24"/>
          <w:szCs w:val="24"/>
          <w:lang w:val="fr-FR"/>
        </w:rPr>
        <w:t> »</w:t>
      </w:r>
    </w:p>
    <w:p w14:paraId="7A3A2C05" w14:textId="77777777" w:rsidR="0068126C" w:rsidRDefault="0068126C" w:rsidP="0068126C">
      <w:pPr>
        <w:jc w:val="center"/>
        <w:rPr>
          <w:b/>
          <w:bCs/>
        </w:rPr>
      </w:pPr>
    </w:p>
    <w:p w14:paraId="24B7C503" w14:textId="77777777" w:rsidR="0068126C" w:rsidRDefault="0068126C" w:rsidP="0068126C">
      <w:pPr>
        <w:jc w:val="center"/>
        <w:rPr>
          <w:b/>
          <w:bCs/>
        </w:rPr>
      </w:pPr>
      <w:r w:rsidRPr="59784E90">
        <w:rPr>
          <w:b/>
          <w:bCs/>
        </w:rPr>
        <w:t>EXPOSÉ SOMMAIRE</w:t>
      </w:r>
    </w:p>
    <w:p w14:paraId="390DCE0B" w14:textId="77777777" w:rsidR="0068126C" w:rsidRDefault="0068126C" w:rsidP="0068126C">
      <w:pPr>
        <w:spacing w:after="160" w:line="279" w:lineRule="auto"/>
        <w:rPr>
          <w:rFonts w:ascii="Aptos" w:eastAsia="Aptos" w:hAnsi="Aptos" w:cs="Aptos"/>
          <w:color w:val="000000" w:themeColor="text1"/>
          <w:sz w:val="24"/>
          <w:szCs w:val="24"/>
          <w:lang w:val="fr-FR"/>
        </w:rPr>
      </w:pPr>
    </w:p>
    <w:p w14:paraId="61A6608C" w14:textId="77777777" w:rsidR="0068126C" w:rsidRDefault="0068126C" w:rsidP="0068126C">
      <w:pPr>
        <w:spacing w:after="160" w:line="279" w:lineRule="auto"/>
        <w:jc w:val="both"/>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 xml:space="preserve">Cet amendement a été suggéré par l’ONG anti-corruption </w:t>
      </w:r>
      <w:proofErr w:type="spellStart"/>
      <w:r w:rsidRPr="59784E90">
        <w:rPr>
          <w:rFonts w:ascii="Aptos" w:eastAsia="Aptos" w:hAnsi="Aptos" w:cs="Aptos"/>
          <w:color w:val="000000" w:themeColor="text1"/>
          <w:sz w:val="24"/>
          <w:szCs w:val="24"/>
          <w:lang w:val="fr-FR"/>
        </w:rPr>
        <w:t>Transparency</w:t>
      </w:r>
      <w:proofErr w:type="spellEnd"/>
      <w:r w:rsidRPr="59784E90">
        <w:rPr>
          <w:rFonts w:ascii="Aptos" w:eastAsia="Aptos" w:hAnsi="Aptos" w:cs="Aptos"/>
          <w:color w:val="000000" w:themeColor="text1"/>
          <w:sz w:val="24"/>
          <w:szCs w:val="24"/>
          <w:lang w:val="fr-FR"/>
        </w:rPr>
        <w:t xml:space="preserve"> International France.</w:t>
      </w:r>
    </w:p>
    <w:p w14:paraId="46D2D1EC" w14:textId="1B6B12DF" w:rsidR="0068126C" w:rsidRDefault="0068126C" w:rsidP="0068126C">
      <w:pPr>
        <w:spacing w:after="160" w:line="279" w:lineRule="auto"/>
        <w:jc w:val="both"/>
        <w:rPr>
          <w:rFonts w:ascii="Aptos" w:eastAsia="Aptos" w:hAnsi="Aptos" w:cs="Aptos"/>
          <w:color w:val="000000" w:themeColor="text1"/>
          <w:sz w:val="24"/>
          <w:szCs w:val="24"/>
          <w:lang w:val="fr-FR"/>
        </w:rPr>
      </w:pPr>
      <w:r w:rsidRPr="59784E90">
        <w:rPr>
          <w:rFonts w:ascii="Aptos" w:eastAsia="Aptos" w:hAnsi="Aptos" w:cs="Aptos"/>
          <w:color w:val="000000" w:themeColor="text1"/>
          <w:sz w:val="24"/>
          <w:szCs w:val="24"/>
          <w:lang w:val="fr-FR"/>
        </w:rPr>
        <w:t>Il vise à permettre aux entreprises appartenant au même groupe de sociétés de fusionner leurs déclarations de lobbying à la Haute autorité pour la transparence de la vie publique au sein d’une déclaration unique</w:t>
      </w:r>
      <w:r w:rsidR="00464CBD">
        <w:rPr>
          <w:rFonts w:ascii="Aptos" w:eastAsia="Aptos" w:hAnsi="Aptos" w:cs="Aptos"/>
          <w:color w:val="000000" w:themeColor="text1"/>
          <w:sz w:val="24"/>
          <w:szCs w:val="24"/>
          <w:lang w:val="fr-FR"/>
        </w:rPr>
        <w:t xml:space="preserve"> réalisée par la société-mère</w:t>
      </w:r>
      <w:r w:rsidRPr="59784E90">
        <w:rPr>
          <w:rFonts w:ascii="Aptos" w:eastAsia="Aptos" w:hAnsi="Aptos" w:cs="Aptos"/>
          <w:color w:val="000000" w:themeColor="text1"/>
          <w:sz w:val="24"/>
          <w:szCs w:val="24"/>
          <w:lang w:val="fr-FR"/>
        </w:rPr>
        <w:t>.</w:t>
      </w:r>
    </w:p>
    <w:p w14:paraId="20CC1644" w14:textId="77777777" w:rsidR="0068126C" w:rsidRDefault="0068126C" w:rsidP="0068126C">
      <w:pPr>
        <w:jc w:val="both"/>
        <w:rPr>
          <w:rFonts w:ascii="Calibri" w:eastAsia="Calibri" w:hAnsi="Calibri" w:cs="Calibri"/>
          <w:sz w:val="24"/>
          <w:szCs w:val="24"/>
        </w:rPr>
      </w:pPr>
      <w:r w:rsidRPr="59784E90">
        <w:rPr>
          <w:rFonts w:ascii="Calibri" w:eastAsia="Calibri" w:hAnsi="Calibri" w:cs="Calibri"/>
          <w:sz w:val="24"/>
          <w:szCs w:val="24"/>
        </w:rPr>
        <w:t>Actuellement, l’obligation déclarative des activités et moyens de lobbying auprès de la Haute autorité pour la transparence de la vie publique (HATVP) repose sur la personne morale qui les mène. Or, dans le cas des groupes d’entreprises, chaque filiale peut posséder une personnalité morale autonome et peut donc être soumise indépendamment à l’obligation de déclaration de ses activités de lobbying auprès de la HATVP, que celles-ci aient été menées pour son compte</w:t>
      </w:r>
      <w:r>
        <w:rPr>
          <w:rFonts w:ascii="Calibri" w:eastAsia="Calibri" w:hAnsi="Calibri" w:cs="Calibri"/>
          <w:sz w:val="24"/>
          <w:szCs w:val="24"/>
        </w:rPr>
        <w:t xml:space="preserve">, </w:t>
      </w:r>
      <w:r w:rsidRPr="59784E90">
        <w:rPr>
          <w:rFonts w:ascii="Calibri" w:eastAsia="Calibri" w:hAnsi="Calibri" w:cs="Calibri"/>
          <w:sz w:val="24"/>
          <w:szCs w:val="24"/>
        </w:rPr>
        <w:t>pour la société-mère</w:t>
      </w:r>
      <w:r>
        <w:rPr>
          <w:rFonts w:ascii="Calibri" w:eastAsia="Calibri" w:hAnsi="Calibri" w:cs="Calibri"/>
          <w:sz w:val="24"/>
          <w:szCs w:val="24"/>
        </w:rPr>
        <w:t xml:space="preserve">, </w:t>
      </w:r>
      <w:r w:rsidRPr="59784E90">
        <w:rPr>
          <w:rFonts w:ascii="Calibri" w:eastAsia="Calibri" w:hAnsi="Calibri" w:cs="Calibri"/>
          <w:sz w:val="24"/>
          <w:szCs w:val="24"/>
        </w:rPr>
        <w:t>une</w:t>
      </w:r>
      <w:r>
        <w:rPr>
          <w:rFonts w:ascii="Calibri" w:eastAsia="Calibri" w:hAnsi="Calibri" w:cs="Calibri"/>
          <w:sz w:val="24"/>
          <w:szCs w:val="24"/>
        </w:rPr>
        <w:t xml:space="preserve"> autre</w:t>
      </w:r>
      <w:r w:rsidRPr="59784E90">
        <w:rPr>
          <w:rFonts w:ascii="Calibri" w:eastAsia="Calibri" w:hAnsi="Calibri" w:cs="Calibri"/>
          <w:sz w:val="24"/>
          <w:szCs w:val="24"/>
        </w:rPr>
        <w:t xml:space="preserve"> filiale du groupe </w:t>
      </w:r>
      <w:r>
        <w:rPr>
          <w:rFonts w:ascii="Calibri" w:eastAsia="Calibri" w:hAnsi="Calibri" w:cs="Calibri"/>
          <w:sz w:val="24"/>
          <w:szCs w:val="24"/>
        </w:rPr>
        <w:t>ou l’ensemble du groupe.</w:t>
      </w:r>
    </w:p>
    <w:p w14:paraId="507EE5C6" w14:textId="77777777" w:rsidR="0068126C" w:rsidRDefault="0068126C" w:rsidP="0068126C">
      <w:pPr>
        <w:jc w:val="both"/>
        <w:rPr>
          <w:rFonts w:ascii="Calibri" w:eastAsia="Calibri" w:hAnsi="Calibri" w:cs="Calibri"/>
          <w:sz w:val="24"/>
          <w:szCs w:val="24"/>
        </w:rPr>
      </w:pPr>
    </w:p>
    <w:p w14:paraId="2F41CA2D" w14:textId="77777777" w:rsidR="0068126C" w:rsidRDefault="0068126C" w:rsidP="0068126C">
      <w:pPr>
        <w:jc w:val="both"/>
        <w:rPr>
          <w:rFonts w:ascii="Calibri" w:eastAsia="Calibri" w:hAnsi="Calibri" w:cs="Calibri"/>
          <w:sz w:val="24"/>
          <w:szCs w:val="24"/>
        </w:rPr>
      </w:pPr>
      <w:r w:rsidRPr="59784E90">
        <w:rPr>
          <w:rFonts w:ascii="Calibri" w:eastAsia="Calibri" w:hAnsi="Calibri" w:cs="Calibri"/>
          <w:sz w:val="24"/>
          <w:szCs w:val="24"/>
        </w:rPr>
        <w:t>Cela peut donc complexifier à la fois l’exercice déclaratif pour les groupes de sociétés, et la consultation du répertoire pour les citoyens puisque la structure des groupes de société peut être complexe et difficile d’accès.</w:t>
      </w:r>
    </w:p>
    <w:p w14:paraId="09F5F3BF" w14:textId="77777777" w:rsidR="0068126C" w:rsidRDefault="0068126C" w:rsidP="0068126C">
      <w:pPr>
        <w:jc w:val="both"/>
        <w:rPr>
          <w:rFonts w:ascii="Calibri" w:eastAsia="Calibri" w:hAnsi="Calibri" w:cs="Calibri"/>
          <w:sz w:val="24"/>
          <w:szCs w:val="24"/>
        </w:rPr>
      </w:pPr>
    </w:p>
    <w:p w14:paraId="0E7842CE" w14:textId="7461F97E" w:rsidR="0068126C" w:rsidRDefault="0068126C" w:rsidP="00C60993">
      <w:pPr>
        <w:jc w:val="both"/>
        <w:rPr>
          <w:rFonts w:ascii="Calibri" w:eastAsia="Calibri" w:hAnsi="Calibri" w:cs="Calibri"/>
          <w:sz w:val="24"/>
          <w:szCs w:val="24"/>
        </w:rPr>
      </w:pPr>
      <w:r w:rsidRPr="59784E90">
        <w:rPr>
          <w:rFonts w:ascii="Calibri" w:eastAsia="Calibri" w:hAnsi="Calibri" w:cs="Calibri"/>
          <w:sz w:val="24"/>
          <w:szCs w:val="24"/>
        </w:rPr>
        <w:t>En permettant une déclaration unique et centralisée</w:t>
      </w:r>
      <w:r w:rsidR="00C60993">
        <w:rPr>
          <w:rFonts w:ascii="Calibri" w:eastAsia="Calibri" w:hAnsi="Calibri" w:cs="Calibri"/>
          <w:sz w:val="24"/>
          <w:szCs w:val="24"/>
        </w:rPr>
        <w:t xml:space="preserve"> au niveau de la société-mère</w:t>
      </w:r>
      <w:r w:rsidRPr="59784E90">
        <w:rPr>
          <w:rFonts w:ascii="Calibri" w:eastAsia="Calibri" w:hAnsi="Calibri" w:cs="Calibri"/>
          <w:sz w:val="24"/>
          <w:szCs w:val="24"/>
        </w:rPr>
        <w:t>, cet amendement simplifierait donc l’exercice déclaratif pour les groupes de société, et renforcerait la transparence du lobbying.</w:t>
      </w:r>
    </w:p>
    <w:sectPr w:rsidR="0068126C">
      <w:headerReference w:type="default"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DA92" w14:textId="77777777" w:rsidR="005B211A" w:rsidRDefault="005B211A">
      <w:pPr>
        <w:spacing w:line="240" w:lineRule="auto"/>
      </w:pPr>
      <w:r>
        <w:separator/>
      </w:r>
    </w:p>
  </w:endnote>
  <w:endnote w:type="continuationSeparator" w:id="0">
    <w:p w14:paraId="202086B5" w14:textId="77777777" w:rsidR="005B211A" w:rsidRDefault="005B211A">
      <w:pPr>
        <w:spacing w:line="240" w:lineRule="auto"/>
      </w:pPr>
      <w:r>
        <w:continuationSeparator/>
      </w:r>
    </w:p>
  </w:endnote>
  <w:endnote w:type="continuationNotice" w:id="1">
    <w:p w14:paraId="18B281F8" w14:textId="77777777" w:rsidR="005B211A" w:rsidRDefault="005B21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966EE5" w:rsidRDefault="00966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966EE5" w:rsidRDefault="00966E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2F8F" w14:textId="77777777" w:rsidR="005B211A" w:rsidRDefault="005B211A">
      <w:pPr>
        <w:spacing w:line="240" w:lineRule="auto"/>
      </w:pPr>
      <w:r>
        <w:separator/>
      </w:r>
    </w:p>
  </w:footnote>
  <w:footnote w:type="continuationSeparator" w:id="0">
    <w:p w14:paraId="06E3C6EF" w14:textId="77777777" w:rsidR="005B211A" w:rsidRDefault="005B211A">
      <w:pPr>
        <w:spacing w:line="240" w:lineRule="auto"/>
      </w:pPr>
      <w:r>
        <w:continuationSeparator/>
      </w:r>
    </w:p>
  </w:footnote>
  <w:footnote w:type="continuationNotice" w:id="1">
    <w:p w14:paraId="7A3272B4" w14:textId="77777777" w:rsidR="005B211A" w:rsidRDefault="005B21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966EE5" w:rsidRDefault="00966E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966EE5" w:rsidRDefault="0095398C">
    <w:pPr>
      <w:jc w:val="center"/>
    </w:pPr>
    <w:r>
      <w:rPr>
        <w:noProof/>
      </w:rPr>
      <w:drawing>
        <wp:inline distT="114300" distB="114300" distL="114300" distR="114300" wp14:anchorId="4A5E8A44" wp14:editId="07777777">
          <wp:extent cx="1947863" cy="5886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0526"/>
                  <a:stretch>
                    <a:fillRect/>
                  </a:stretch>
                </pic:blipFill>
                <pic:spPr>
                  <a:xfrm>
                    <a:off x="0" y="0"/>
                    <a:ext cx="1947863" cy="58868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E5"/>
    <w:rsid w:val="002739E9"/>
    <w:rsid w:val="00464CBD"/>
    <w:rsid w:val="00465601"/>
    <w:rsid w:val="004D5E4D"/>
    <w:rsid w:val="005642B9"/>
    <w:rsid w:val="005B211A"/>
    <w:rsid w:val="00620CAD"/>
    <w:rsid w:val="00653DDA"/>
    <w:rsid w:val="006644B9"/>
    <w:rsid w:val="0068126C"/>
    <w:rsid w:val="006D0E65"/>
    <w:rsid w:val="006F1CB2"/>
    <w:rsid w:val="006F4D22"/>
    <w:rsid w:val="00751D0B"/>
    <w:rsid w:val="007B366C"/>
    <w:rsid w:val="00810343"/>
    <w:rsid w:val="008C2DB8"/>
    <w:rsid w:val="0095398C"/>
    <w:rsid w:val="00966EE5"/>
    <w:rsid w:val="00976913"/>
    <w:rsid w:val="009953D0"/>
    <w:rsid w:val="009B1376"/>
    <w:rsid w:val="00A35371"/>
    <w:rsid w:val="00A375EC"/>
    <w:rsid w:val="00B233CD"/>
    <w:rsid w:val="00C17C0D"/>
    <w:rsid w:val="00C60993"/>
    <w:rsid w:val="00C72C4B"/>
    <w:rsid w:val="00C8057C"/>
    <w:rsid w:val="00CE0C31"/>
    <w:rsid w:val="00E336DD"/>
    <w:rsid w:val="00EF40FF"/>
    <w:rsid w:val="00EF51FD"/>
    <w:rsid w:val="00F1724B"/>
    <w:rsid w:val="01E440BB"/>
    <w:rsid w:val="041EF74A"/>
    <w:rsid w:val="04FFB5A0"/>
    <w:rsid w:val="056BD36E"/>
    <w:rsid w:val="06381E6A"/>
    <w:rsid w:val="06A50137"/>
    <w:rsid w:val="071AC96D"/>
    <w:rsid w:val="074AD841"/>
    <w:rsid w:val="086E808B"/>
    <w:rsid w:val="0A529C50"/>
    <w:rsid w:val="0A9C8E01"/>
    <w:rsid w:val="0AFC9266"/>
    <w:rsid w:val="0BAEE5C7"/>
    <w:rsid w:val="0BF28DC4"/>
    <w:rsid w:val="0D31258B"/>
    <w:rsid w:val="0DC1388E"/>
    <w:rsid w:val="1082D8E0"/>
    <w:rsid w:val="10B14A96"/>
    <w:rsid w:val="11568593"/>
    <w:rsid w:val="11998A35"/>
    <w:rsid w:val="11C97E18"/>
    <w:rsid w:val="124723D0"/>
    <w:rsid w:val="12F617A9"/>
    <w:rsid w:val="13E405AB"/>
    <w:rsid w:val="13F09DCE"/>
    <w:rsid w:val="142D482A"/>
    <w:rsid w:val="147D18FE"/>
    <w:rsid w:val="14A94F59"/>
    <w:rsid w:val="162D681E"/>
    <w:rsid w:val="198621DF"/>
    <w:rsid w:val="1A285BC1"/>
    <w:rsid w:val="1B3D443A"/>
    <w:rsid w:val="1C7E9A9B"/>
    <w:rsid w:val="1CB8210D"/>
    <w:rsid w:val="1DC0B3D9"/>
    <w:rsid w:val="1E39E809"/>
    <w:rsid w:val="1E622508"/>
    <w:rsid w:val="1F2C17E0"/>
    <w:rsid w:val="1F6FEAE2"/>
    <w:rsid w:val="1FF7E37E"/>
    <w:rsid w:val="2022531A"/>
    <w:rsid w:val="204BBD8F"/>
    <w:rsid w:val="205AA286"/>
    <w:rsid w:val="205CC153"/>
    <w:rsid w:val="21A4184D"/>
    <w:rsid w:val="22199AF9"/>
    <w:rsid w:val="222148EE"/>
    <w:rsid w:val="2237B65E"/>
    <w:rsid w:val="237236EE"/>
    <w:rsid w:val="2537B7A8"/>
    <w:rsid w:val="273F9D71"/>
    <w:rsid w:val="277BA997"/>
    <w:rsid w:val="27A9B693"/>
    <w:rsid w:val="2839B36F"/>
    <w:rsid w:val="28A27E2D"/>
    <w:rsid w:val="297AF6EC"/>
    <w:rsid w:val="2A326C71"/>
    <w:rsid w:val="2BA1FEF7"/>
    <w:rsid w:val="2BD5B2E7"/>
    <w:rsid w:val="2C7F99C9"/>
    <w:rsid w:val="2F3AD58D"/>
    <w:rsid w:val="346F0697"/>
    <w:rsid w:val="3929167F"/>
    <w:rsid w:val="39532646"/>
    <w:rsid w:val="3A9E409E"/>
    <w:rsid w:val="3CEB5E95"/>
    <w:rsid w:val="3D4FB316"/>
    <w:rsid w:val="3D8CDAEF"/>
    <w:rsid w:val="3F17614B"/>
    <w:rsid w:val="3FB78719"/>
    <w:rsid w:val="4105CAD9"/>
    <w:rsid w:val="436498FF"/>
    <w:rsid w:val="43CCB1C8"/>
    <w:rsid w:val="447D7CA7"/>
    <w:rsid w:val="449F22CE"/>
    <w:rsid w:val="4585FB82"/>
    <w:rsid w:val="459D748E"/>
    <w:rsid w:val="45C1DDA3"/>
    <w:rsid w:val="4663B949"/>
    <w:rsid w:val="4889BD38"/>
    <w:rsid w:val="495BD9D2"/>
    <w:rsid w:val="49B96290"/>
    <w:rsid w:val="4A2151E6"/>
    <w:rsid w:val="4A230EEF"/>
    <w:rsid w:val="4A567C15"/>
    <w:rsid w:val="4B16625A"/>
    <w:rsid w:val="4BD2FCDD"/>
    <w:rsid w:val="4C3F1A42"/>
    <w:rsid w:val="4CE2B77F"/>
    <w:rsid w:val="4CF24750"/>
    <w:rsid w:val="4E6FC7A5"/>
    <w:rsid w:val="4EBA8236"/>
    <w:rsid w:val="4FA88559"/>
    <w:rsid w:val="507533C7"/>
    <w:rsid w:val="524138BA"/>
    <w:rsid w:val="53238D2E"/>
    <w:rsid w:val="543E5E12"/>
    <w:rsid w:val="553EBB5F"/>
    <w:rsid w:val="59784E90"/>
    <w:rsid w:val="5B4960D3"/>
    <w:rsid w:val="5B51B9C8"/>
    <w:rsid w:val="5B6C6071"/>
    <w:rsid w:val="5BE2A895"/>
    <w:rsid w:val="5C64B1B8"/>
    <w:rsid w:val="5CC0C2C5"/>
    <w:rsid w:val="5CCF1B5B"/>
    <w:rsid w:val="5EA266B3"/>
    <w:rsid w:val="5FC9DBB3"/>
    <w:rsid w:val="60027DB4"/>
    <w:rsid w:val="6027A71C"/>
    <w:rsid w:val="61067588"/>
    <w:rsid w:val="61C48660"/>
    <w:rsid w:val="62F645FD"/>
    <w:rsid w:val="633BF1E4"/>
    <w:rsid w:val="6359BF39"/>
    <w:rsid w:val="63EA65FE"/>
    <w:rsid w:val="6500DE98"/>
    <w:rsid w:val="651E796D"/>
    <w:rsid w:val="6581A25A"/>
    <w:rsid w:val="66391D8F"/>
    <w:rsid w:val="671299C0"/>
    <w:rsid w:val="6758E704"/>
    <w:rsid w:val="67F8DDD2"/>
    <w:rsid w:val="69A10406"/>
    <w:rsid w:val="69FC0C2E"/>
    <w:rsid w:val="6B576A21"/>
    <w:rsid w:val="6C6BB10A"/>
    <w:rsid w:val="6D1528F4"/>
    <w:rsid w:val="6D1860C5"/>
    <w:rsid w:val="6D378B3E"/>
    <w:rsid w:val="6E525D27"/>
    <w:rsid w:val="6EED2D44"/>
    <w:rsid w:val="705DA264"/>
    <w:rsid w:val="7106FC02"/>
    <w:rsid w:val="71EE709B"/>
    <w:rsid w:val="7206C7C6"/>
    <w:rsid w:val="72A76CEB"/>
    <w:rsid w:val="72CC4B53"/>
    <w:rsid w:val="75108E46"/>
    <w:rsid w:val="7723CADB"/>
    <w:rsid w:val="7879A363"/>
    <w:rsid w:val="788F1C1C"/>
    <w:rsid w:val="79169BB1"/>
    <w:rsid w:val="7BD3F82B"/>
    <w:rsid w:val="7C52F268"/>
    <w:rsid w:val="7CD6B4FF"/>
    <w:rsid w:val="7CECB1EA"/>
    <w:rsid w:val="7D46187E"/>
    <w:rsid w:val="7DA6B045"/>
    <w:rsid w:val="7E2C9411"/>
    <w:rsid w:val="7F48766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DCFC"/>
  <w15:docId w15:val="{92FE75D3-B208-4F82-8A52-AB7BE3A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semiHidden/>
    <w:unhideWhenUsed/>
    <w:rsid w:val="00EF40FF"/>
    <w:pPr>
      <w:tabs>
        <w:tab w:val="center" w:pos="4536"/>
        <w:tab w:val="right" w:pos="9072"/>
      </w:tabs>
      <w:spacing w:line="240" w:lineRule="auto"/>
    </w:pPr>
  </w:style>
  <w:style w:type="character" w:customStyle="1" w:styleId="En-tteCar">
    <w:name w:val="En-tête Car"/>
    <w:basedOn w:val="Policepardfaut"/>
    <w:link w:val="En-tte"/>
    <w:uiPriority w:val="99"/>
    <w:semiHidden/>
    <w:rsid w:val="00EF40FF"/>
  </w:style>
  <w:style w:type="paragraph" w:styleId="Pieddepage">
    <w:name w:val="footer"/>
    <w:basedOn w:val="Normal"/>
    <w:link w:val="PieddepageCar"/>
    <w:uiPriority w:val="99"/>
    <w:semiHidden/>
    <w:unhideWhenUsed/>
    <w:rsid w:val="00EF40FF"/>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F4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5e66408e-7cb2-40b5-9ee7-0dd8435032cb" xsi:nil="true"/>
    <_ip_UnifiedCompliancePolicyProperties xmlns="http://schemas.microsoft.com/sharepoint/v3" xsi:nil="true"/>
    <lcf76f155ced4ddcb4097134ff3c332f xmlns="5e66408e-7cb2-40b5-9ee7-0dd8435032cb">
      <Terms xmlns="http://schemas.microsoft.com/office/infopath/2007/PartnerControls"/>
    </lcf76f155ced4ddcb4097134ff3c332f>
    <TaxCatchAll xmlns="83e95a3d-d3e3-4ab9-adc5-9b5c6d1406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8523AF85F836448AC9FC4A9A37EC6C" ma:contentTypeVersion="21" ma:contentTypeDescription="Create a new document." ma:contentTypeScope="" ma:versionID="94b6359bd2a0b4e395d1b9e9f38e425a">
  <xsd:schema xmlns:xsd="http://www.w3.org/2001/XMLSchema" xmlns:xs="http://www.w3.org/2001/XMLSchema" xmlns:p="http://schemas.microsoft.com/office/2006/metadata/properties" xmlns:ns1="http://schemas.microsoft.com/sharepoint/v3" xmlns:ns2="5e66408e-7cb2-40b5-9ee7-0dd8435032cb" xmlns:ns3="83e95a3d-d3e3-4ab9-adc5-9b5c6d140667" targetNamespace="http://schemas.microsoft.com/office/2006/metadata/properties" ma:root="true" ma:fieldsID="65fc32b372695bcac3edfc3cae45efa3" ns1:_="" ns2:_="" ns3:_="">
    <xsd:import namespace="http://schemas.microsoft.com/sharepoint/v3"/>
    <xsd:import namespace="5e66408e-7cb2-40b5-9ee7-0dd8435032cb"/>
    <xsd:import namespace="83e95a3d-d3e3-4ab9-adc5-9b5c6d140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6408e-7cb2-40b5-9ee7-0dd843503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95a3d-d3e3-4ab9-adc5-9b5c6d1406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d8ee29-17e3-42c8-9049-bc3ed43d493c}" ma:internalName="TaxCatchAll" ma:showField="CatchAllData" ma:web="83e95a3d-d3e3-4ab9-adc5-9b5c6d140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C97BF-28FB-4930-B7DA-526EB5410326}">
  <ds:schemaRefs>
    <ds:schemaRef ds:uri="http://schemas.microsoft.com/office/2006/metadata/properties"/>
    <ds:schemaRef ds:uri="http://schemas.microsoft.com/office/infopath/2007/PartnerControls"/>
    <ds:schemaRef ds:uri="http://schemas.microsoft.com/sharepoint/v3"/>
    <ds:schemaRef ds:uri="5e66408e-7cb2-40b5-9ee7-0dd8435032cb"/>
    <ds:schemaRef ds:uri="83e95a3d-d3e3-4ab9-adc5-9b5c6d140667"/>
  </ds:schemaRefs>
</ds:datastoreItem>
</file>

<file path=customXml/itemProps2.xml><?xml version="1.0" encoding="utf-8"?>
<ds:datastoreItem xmlns:ds="http://schemas.openxmlformats.org/officeDocument/2006/customXml" ds:itemID="{CF0ECFE9-513E-49C2-ADC7-FB689B22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6408e-7cb2-40b5-9ee7-0dd8435032cb"/>
    <ds:schemaRef ds:uri="83e95a3d-d3e3-4ab9-adc5-9b5c6d140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E7B3C-497C-4689-8BC6-8A489A1F3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6598</Characters>
  <Application>Microsoft Office Word</Application>
  <DocSecurity>0</DocSecurity>
  <Lines>54</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Gernier (TI FR)</cp:lastModifiedBy>
  <cp:revision>27</cp:revision>
  <dcterms:created xsi:type="dcterms:W3CDTF">2025-03-14T16:31:00Z</dcterms:created>
  <dcterms:modified xsi:type="dcterms:W3CDTF">2025-03-17T16:57:00Z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0x010100B88523AF85F836448AC9FC4A9A37EC6C</vt:lpwstr>
  </property>
  <property fmtid="{D5CDD505-2E9C-101B-9397-08002B2CF9AE}" pid="3" name="MediaServiceImageTags">
    <vt:lpwstr/>
  </property>
</Properties>
</file>